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3D810">
      <w:pPr>
        <w:pStyle w:val="2"/>
      </w:pPr>
    </w:p>
    <w:p w14:paraId="3E5EFF7C"/>
    <w:p w14:paraId="73E2533F">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2024年</w:t>
      </w:r>
      <w:r>
        <w:rPr>
          <w:rFonts w:hint="eastAsia" w:ascii="方正小标宋简体" w:hAnsi="方正小标宋简体" w:eastAsia="方正小标宋简体" w:cs="方正小标宋简体"/>
          <w:sz w:val="44"/>
          <w:szCs w:val="44"/>
        </w:rPr>
        <w:t>度岳阳市纪委市监委案件管理中心整体支出绩效自评报告</w:t>
      </w:r>
    </w:p>
    <w:p w14:paraId="63DBEF07">
      <w:pPr>
        <w:rPr>
          <w:rFonts w:ascii="Times New Roman" w:hAnsi="Times New Roman" w:eastAsia="楷体_GB2312"/>
          <w:b/>
          <w:sz w:val="32"/>
          <w:szCs w:val="32"/>
        </w:rPr>
      </w:pPr>
    </w:p>
    <w:p w14:paraId="17BC8ABD">
      <w:pPr>
        <w:jc w:val="center"/>
        <w:rPr>
          <w:rFonts w:ascii="Times New Roman" w:hAnsi="Times New Roman" w:eastAsia="楷体_GB2312"/>
          <w:b/>
          <w:sz w:val="32"/>
          <w:szCs w:val="32"/>
        </w:rPr>
      </w:pPr>
    </w:p>
    <w:p w14:paraId="48BFF4E1">
      <w:pPr>
        <w:jc w:val="center"/>
        <w:rPr>
          <w:rFonts w:ascii="Times New Roman" w:hAnsi="Times New Roman" w:eastAsia="楷体_GB2312"/>
          <w:b/>
          <w:sz w:val="32"/>
          <w:szCs w:val="32"/>
        </w:rPr>
      </w:pPr>
    </w:p>
    <w:p w14:paraId="3340C5DC">
      <w:pPr>
        <w:jc w:val="center"/>
        <w:rPr>
          <w:rFonts w:ascii="Times New Roman" w:hAnsi="Times New Roman" w:eastAsia="黑体"/>
          <w:sz w:val="32"/>
          <w:szCs w:val="32"/>
        </w:rPr>
      </w:pPr>
    </w:p>
    <w:p w14:paraId="18BD541A">
      <w:pPr>
        <w:jc w:val="center"/>
        <w:rPr>
          <w:rFonts w:ascii="Times New Roman" w:hAnsi="Times New Roman" w:eastAsia="黑体"/>
          <w:sz w:val="32"/>
          <w:szCs w:val="32"/>
        </w:rPr>
      </w:pPr>
    </w:p>
    <w:p w14:paraId="3861743A">
      <w:pPr>
        <w:jc w:val="center"/>
        <w:rPr>
          <w:rFonts w:ascii="Times New Roman" w:hAnsi="Times New Roman" w:eastAsia="黑体"/>
          <w:sz w:val="32"/>
          <w:szCs w:val="32"/>
        </w:rPr>
      </w:pPr>
    </w:p>
    <w:p w14:paraId="3954CB9A">
      <w:pPr>
        <w:rPr>
          <w:rFonts w:ascii="Times New Roman" w:hAnsi="Times New Roman" w:eastAsia="黑体"/>
          <w:sz w:val="32"/>
          <w:szCs w:val="32"/>
        </w:rPr>
      </w:pPr>
    </w:p>
    <w:p w14:paraId="5E6538A3">
      <w:pPr>
        <w:jc w:val="center"/>
        <w:rPr>
          <w:rFonts w:ascii="Times New Roman" w:hAnsi="Times New Roman" w:eastAsia="黑体"/>
          <w:sz w:val="32"/>
          <w:szCs w:val="32"/>
        </w:rPr>
      </w:pPr>
    </w:p>
    <w:p w14:paraId="4576AE8B">
      <w:pPr>
        <w:jc w:val="center"/>
        <w:rPr>
          <w:rFonts w:ascii="Times New Roman" w:hAnsi="Times New Roman" w:eastAsia="黑体"/>
          <w:sz w:val="32"/>
          <w:szCs w:val="32"/>
        </w:rPr>
      </w:pPr>
    </w:p>
    <w:p w14:paraId="2A66F8CE">
      <w:pPr>
        <w:jc w:val="center"/>
        <w:rPr>
          <w:rFonts w:ascii="Times New Roman" w:hAnsi="Times New Roman" w:eastAsia="黑体"/>
          <w:sz w:val="32"/>
          <w:szCs w:val="32"/>
        </w:rPr>
      </w:pPr>
    </w:p>
    <w:p w14:paraId="083B88BA">
      <w:pPr>
        <w:jc w:val="center"/>
        <w:rPr>
          <w:rFonts w:ascii="Times New Roman" w:hAnsi="Times New Roman" w:eastAsia="黑体"/>
          <w:sz w:val="32"/>
          <w:szCs w:val="32"/>
        </w:rPr>
      </w:pPr>
    </w:p>
    <w:p w14:paraId="7B41B99F">
      <w:pPr>
        <w:spacing w:line="600" w:lineRule="exact"/>
        <w:jc w:val="center"/>
        <w:rPr>
          <w:rFonts w:ascii="Times New Roman" w:hAnsi="Times New Roman" w:eastAsia="仿宋_GB2312"/>
          <w:sz w:val="32"/>
          <w:szCs w:val="32"/>
          <w:u w:val="single"/>
        </w:rPr>
      </w:pPr>
      <w:r>
        <w:rPr>
          <w:rFonts w:ascii="Times New Roman" w:hAnsi="Times New Roman" w:eastAsia="仿宋_GB2312"/>
          <w:sz w:val="32"/>
          <w:szCs w:val="32"/>
        </w:rPr>
        <w:t>部门（单位）名称：</w:t>
      </w:r>
      <w:r>
        <w:rPr>
          <w:rFonts w:ascii="Times New Roman" w:hAnsi="Times New Roman" w:eastAsia="仿宋_GB2312"/>
          <w:sz w:val="32"/>
          <w:szCs w:val="32"/>
          <w:u w:val="single"/>
        </w:rPr>
        <w:t>（盖章）</w:t>
      </w:r>
    </w:p>
    <w:p w14:paraId="1543CA6A">
      <w:pPr>
        <w:spacing w:line="600" w:lineRule="exact"/>
        <w:jc w:val="center"/>
        <w:rPr>
          <w:rFonts w:ascii="Times New Roman" w:hAnsi="Times New Roman" w:eastAsia="楷体_GB2312"/>
          <w:sz w:val="32"/>
          <w:szCs w:val="32"/>
        </w:rPr>
      </w:pPr>
      <w:r>
        <w:rPr>
          <w:rFonts w:hint="eastAsia" w:ascii="Times New Roman" w:hAnsi="Times New Roman" w:eastAsia="楷体_GB2312"/>
          <w:sz w:val="32"/>
          <w:szCs w:val="32"/>
        </w:rPr>
        <w:t>2024</w:t>
      </w:r>
      <w:r>
        <w:rPr>
          <w:rFonts w:ascii="Times New Roman" w:hAnsi="Times New Roman" w:eastAsia="楷体_GB2312"/>
          <w:sz w:val="32"/>
          <w:szCs w:val="32"/>
        </w:rPr>
        <w:t>年</w:t>
      </w:r>
      <w:r>
        <w:rPr>
          <w:rFonts w:hint="eastAsia" w:ascii="Times New Roman" w:hAnsi="Times New Roman" w:eastAsia="楷体_GB2312"/>
          <w:sz w:val="32"/>
          <w:szCs w:val="32"/>
        </w:rPr>
        <w:t>6</w:t>
      </w:r>
      <w:r>
        <w:rPr>
          <w:rFonts w:ascii="Times New Roman" w:hAnsi="Times New Roman" w:eastAsia="楷体_GB2312"/>
          <w:sz w:val="32"/>
          <w:szCs w:val="32"/>
        </w:rPr>
        <w:t>月</w:t>
      </w:r>
      <w:r>
        <w:rPr>
          <w:rFonts w:hint="eastAsia" w:ascii="Times New Roman" w:hAnsi="Times New Roman" w:eastAsia="楷体_GB2312"/>
          <w:sz w:val="32"/>
          <w:szCs w:val="32"/>
          <w:lang w:val="en-US" w:eastAsia="zh-CN"/>
        </w:rPr>
        <w:t>26</w:t>
      </w:r>
      <w:r>
        <w:rPr>
          <w:rFonts w:ascii="Times New Roman" w:hAnsi="Times New Roman" w:eastAsia="楷体_GB2312"/>
          <w:sz w:val="32"/>
          <w:szCs w:val="32"/>
        </w:rPr>
        <w:t>日</w:t>
      </w:r>
    </w:p>
    <w:p w14:paraId="430576FF">
      <w:pPr>
        <w:jc w:val="center"/>
        <w:rPr>
          <w:rFonts w:ascii="Times New Roman" w:hAnsi="Times New Roman" w:eastAsia="仿宋_GB2312"/>
          <w:sz w:val="32"/>
          <w:szCs w:val="32"/>
        </w:rPr>
      </w:pPr>
      <w:r>
        <w:rPr>
          <w:rFonts w:ascii="Times New Roman" w:hAnsi="Times New Roman" w:eastAsia="仿宋_GB2312"/>
          <w:sz w:val="32"/>
          <w:szCs w:val="32"/>
        </w:rPr>
        <w:t>（此页为封面）</w:t>
      </w:r>
    </w:p>
    <w:p w14:paraId="76940E1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sectPr>
          <w:pgSz w:w="11906" w:h="16838"/>
          <w:pgMar w:top="1440" w:right="1800" w:bottom="1440" w:left="1800" w:header="851" w:footer="992" w:gutter="0"/>
          <w:cols w:space="425" w:num="1"/>
          <w:docGrid w:type="lines" w:linePitch="312" w:charSpace="0"/>
        </w:sectPr>
      </w:pPr>
    </w:p>
    <w:p w14:paraId="1D54038E">
      <w:pPr>
        <w:pStyle w:val="2"/>
        <w:rPr>
          <w:rFonts w:hint="eastAsia"/>
          <w:lang w:eastAsia="zh-CN"/>
        </w:rPr>
      </w:pPr>
    </w:p>
    <w:p w14:paraId="2CF063A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2024年</w:t>
      </w:r>
      <w:r>
        <w:rPr>
          <w:rFonts w:hint="eastAsia" w:ascii="方正小标宋简体" w:hAnsi="方正小标宋简体" w:eastAsia="方正小标宋简体" w:cs="方正小标宋简体"/>
          <w:sz w:val="44"/>
          <w:szCs w:val="44"/>
        </w:rPr>
        <w:t>度岳阳市纪委市监委案件管理中心整体支出绩效自评报告</w:t>
      </w:r>
    </w:p>
    <w:p w14:paraId="73D5CA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sz w:val="32"/>
          <w:szCs w:val="32"/>
        </w:rPr>
      </w:pPr>
    </w:p>
    <w:p w14:paraId="45FE5221">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部门（单位）基本情况</w:t>
      </w:r>
    </w:p>
    <w:p w14:paraId="636419C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仿宋_GB2312" w:cs="仿宋_GB2312"/>
          <w:sz w:val="32"/>
          <w:szCs w:val="32"/>
        </w:rPr>
      </w:pPr>
      <w:r>
        <w:rPr>
          <w:rFonts w:hint="eastAsia" w:eastAsia="仿宋_GB2312" w:cs="仿宋_GB2312"/>
          <w:sz w:val="32"/>
          <w:szCs w:val="32"/>
        </w:rPr>
        <w:t>（一）职能职责</w:t>
      </w:r>
      <w:bookmarkStart w:id="0" w:name="_GoBack"/>
      <w:bookmarkEnd w:id="0"/>
    </w:p>
    <w:p w14:paraId="6206D7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岳阳市纪委市监委案件管理中心</w:t>
      </w:r>
      <w:r>
        <w:rPr>
          <w:rFonts w:hint="eastAsia" w:eastAsia="仿宋_GB2312" w:cs="仿宋_GB2312"/>
          <w:sz w:val="32"/>
          <w:szCs w:val="32"/>
        </w:rPr>
        <w:t>为岳阳</w:t>
      </w:r>
      <w:r>
        <w:rPr>
          <w:rFonts w:hint="eastAsia" w:ascii="Times New Roman" w:hAnsi="Times New Roman" w:eastAsia="仿宋_GB2312" w:cs="仿宋_GB2312"/>
          <w:sz w:val="32"/>
          <w:szCs w:val="32"/>
        </w:rPr>
        <w:t>市纪委市监委机关下设</w:t>
      </w:r>
      <w:r>
        <w:rPr>
          <w:rFonts w:hint="eastAsia" w:eastAsia="仿宋_GB2312" w:cs="仿宋_GB2312"/>
          <w:sz w:val="32"/>
          <w:szCs w:val="32"/>
        </w:rPr>
        <w:t>的二级机构</w:t>
      </w:r>
      <w:r>
        <w:rPr>
          <w:rFonts w:hint="eastAsia" w:ascii="Times New Roman" w:hAnsi="Times New Roman" w:eastAsia="仿宋_GB2312" w:cs="仿宋_GB2312"/>
          <w:sz w:val="32"/>
          <w:szCs w:val="32"/>
        </w:rPr>
        <w:t>，为正科级公益一类事业单位。负责为监督执纪问责和监督调查处置提供必要的场所和安全管理</w:t>
      </w:r>
      <w:r>
        <w:rPr>
          <w:rFonts w:hint="eastAsia" w:eastAsia="仿宋_GB2312" w:cs="仿宋_GB2312"/>
          <w:sz w:val="32"/>
          <w:szCs w:val="32"/>
        </w:rPr>
        <w:t>、后勤保障服务等。</w:t>
      </w:r>
    </w:p>
    <w:p w14:paraId="6840BF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仿宋_GB2312" w:cs="仿宋_GB2312"/>
          <w:sz w:val="32"/>
          <w:szCs w:val="32"/>
        </w:rPr>
      </w:pPr>
      <w:r>
        <w:rPr>
          <w:rFonts w:hint="eastAsia" w:eastAsia="仿宋_GB2312" w:cs="仿宋_GB2312"/>
          <w:sz w:val="32"/>
          <w:szCs w:val="32"/>
        </w:rPr>
        <w:t>（二）机构设置</w:t>
      </w:r>
    </w:p>
    <w:p w14:paraId="130243B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黑体"/>
          <w:sz w:val="32"/>
          <w:szCs w:val="32"/>
        </w:rPr>
      </w:pPr>
      <w:r>
        <w:rPr>
          <w:rFonts w:hint="eastAsia" w:eastAsia="仿宋_GB2312" w:cs="仿宋_GB2312"/>
          <w:sz w:val="32"/>
          <w:szCs w:val="32"/>
        </w:rPr>
        <w:t>岳阳市纪委市监委案件管理中心内设机构包括：内设科室1个，即办公室。</w:t>
      </w:r>
    </w:p>
    <w:p w14:paraId="4D7FBB71">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黑体"/>
          <w:sz w:val="32"/>
          <w:szCs w:val="32"/>
        </w:rPr>
      </w:pPr>
      <w:r>
        <w:rPr>
          <w:rFonts w:ascii="Times New Roman" w:hAnsi="Times New Roman" w:eastAsia="黑体"/>
          <w:sz w:val="32"/>
          <w:szCs w:val="32"/>
        </w:rPr>
        <w:t>二、一般公共预算支出情况</w:t>
      </w:r>
    </w:p>
    <w:p w14:paraId="60D8071A">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楷体_GB2312"/>
          <w:b/>
          <w:sz w:val="32"/>
          <w:szCs w:val="32"/>
        </w:rPr>
      </w:pPr>
      <w:r>
        <w:rPr>
          <w:rFonts w:ascii="Times New Roman" w:hAnsi="Times New Roman" w:eastAsia="楷体_GB2312"/>
          <w:b/>
          <w:sz w:val="32"/>
          <w:szCs w:val="32"/>
        </w:rPr>
        <w:t>（一）基本支出情况</w:t>
      </w:r>
    </w:p>
    <w:p w14:paraId="6E667F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楷体_GB2312"/>
          <w:b/>
          <w:sz w:val="32"/>
          <w:szCs w:val="32"/>
        </w:rPr>
      </w:pPr>
      <w:r>
        <w:rPr>
          <w:rFonts w:hint="eastAsia" w:eastAsia="仿宋_GB2312"/>
          <w:sz w:val="32"/>
          <w:szCs w:val="32"/>
          <w:lang w:eastAsia="zh-CN"/>
        </w:rPr>
        <w:t>2024年</w:t>
      </w:r>
      <w:r>
        <w:rPr>
          <w:rFonts w:hint="eastAsia" w:eastAsia="仿宋_GB2312"/>
          <w:sz w:val="32"/>
          <w:szCs w:val="32"/>
        </w:rPr>
        <w:t>基本支出年初预算数为</w:t>
      </w:r>
      <w:r>
        <w:rPr>
          <w:rFonts w:hint="eastAsia" w:eastAsia="仿宋_GB2312"/>
          <w:sz w:val="32"/>
          <w:szCs w:val="32"/>
          <w:lang w:val="en-US" w:eastAsia="zh-CN"/>
        </w:rPr>
        <w:t>110.54</w:t>
      </w:r>
      <w:r>
        <w:rPr>
          <w:rFonts w:hint="eastAsia" w:eastAsia="仿宋_GB2312"/>
          <w:sz w:val="32"/>
          <w:szCs w:val="32"/>
        </w:rPr>
        <w:t>万元，是指为保障本机构正常运转、完成日常工作任务而发生的各项支出，包括用于基本工资、津贴补贴、社会保障缴费等人员经费以及办公费、工会经费、福利费等日常公用经费。</w:t>
      </w:r>
    </w:p>
    <w:p w14:paraId="754F3CFF">
      <w:pPr>
        <w:pStyle w:val="7"/>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textAlignment w:val="auto"/>
        <w:rPr>
          <w:rFonts w:ascii="Times New Roman" w:hAnsi="Times New Roman" w:eastAsia="楷体_GB2312"/>
          <w:b/>
          <w:sz w:val="32"/>
          <w:szCs w:val="32"/>
        </w:rPr>
      </w:pPr>
      <w:r>
        <w:rPr>
          <w:rFonts w:ascii="Times New Roman" w:hAnsi="Times New Roman" w:eastAsia="楷体_GB2312"/>
          <w:b/>
          <w:sz w:val="32"/>
          <w:szCs w:val="32"/>
        </w:rPr>
        <w:t>项目支出情况</w:t>
      </w:r>
    </w:p>
    <w:p w14:paraId="367E1E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楷体_GB2312"/>
          <w:b/>
          <w:sz w:val="32"/>
          <w:szCs w:val="32"/>
        </w:rPr>
      </w:pPr>
      <w:r>
        <w:rPr>
          <w:rFonts w:hint="eastAsia" w:eastAsia="仿宋_GB2312"/>
          <w:sz w:val="32"/>
          <w:szCs w:val="32"/>
          <w:lang w:eastAsia="zh-CN"/>
        </w:rPr>
        <w:t>2024年</w:t>
      </w:r>
      <w:r>
        <w:rPr>
          <w:rFonts w:hint="eastAsia" w:eastAsia="仿宋_GB2312"/>
          <w:sz w:val="32"/>
          <w:szCs w:val="32"/>
        </w:rPr>
        <w:t>项目支出年初预算数为4100万元，是指岳阳市纪委市监委案件管理中心为完成特定工作任务目标而发生的支出，其中：岳阳市纪委案管中心运转经费4100万元，主要用于保障案件管理中心正常安全运转。</w:t>
      </w:r>
    </w:p>
    <w:p w14:paraId="6FDD23B9">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黑体"/>
          <w:sz w:val="32"/>
          <w:szCs w:val="32"/>
        </w:rPr>
      </w:pPr>
      <w:r>
        <w:rPr>
          <w:rFonts w:ascii="Times New Roman" w:hAnsi="Times New Roman" w:eastAsia="黑体"/>
          <w:sz w:val="32"/>
          <w:szCs w:val="32"/>
        </w:rPr>
        <w:t>三、政府性基金预算支出情况</w:t>
      </w:r>
    </w:p>
    <w:p w14:paraId="3AFD44E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无。</w:t>
      </w:r>
    </w:p>
    <w:p w14:paraId="7BEA0185">
      <w:pPr>
        <w:pStyle w:val="7"/>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textAlignment w:val="auto"/>
        <w:rPr>
          <w:rFonts w:ascii="Times New Roman" w:hAnsi="Times New Roman" w:eastAsia="黑体"/>
          <w:sz w:val="32"/>
          <w:szCs w:val="32"/>
        </w:rPr>
      </w:pPr>
      <w:r>
        <w:rPr>
          <w:rFonts w:ascii="Times New Roman" w:hAnsi="Times New Roman" w:eastAsia="黑体"/>
          <w:sz w:val="32"/>
          <w:szCs w:val="32"/>
        </w:rPr>
        <w:t>国有资本经营预算支出情况</w:t>
      </w:r>
    </w:p>
    <w:p w14:paraId="076F68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黑体"/>
          <w:sz w:val="32"/>
          <w:szCs w:val="32"/>
        </w:rPr>
      </w:pPr>
      <w:r>
        <w:rPr>
          <w:rFonts w:hint="eastAsia" w:eastAsia="仿宋_GB2312"/>
          <w:sz w:val="32"/>
          <w:szCs w:val="32"/>
        </w:rPr>
        <w:t>无。</w:t>
      </w:r>
    </w:p>
    <w:p w14:paraId="1017DAFD">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社会保险基金预算支出情况</w:t>
      </w:r>
    </w:p>
    <w:p w14:paraId="4E2D0EA2">
      <w:pPr>
        <w:keepNext w:val="0"/>
        <w:keepLines w:val="0"/>
        <w:pageBreakBefore w:val="0"/>
        <w:widowControl w:val="0"/>
        <w:kinsoku/>
        <w:wordWrap/>
        <w:overflowPunct/>
        <w:topLinePunct w:val="0"/>
        <w:autoSpaceDE/>
        <w:autoSpaceDN/>
        <w:bidi w:val="0"/>
        <w:adjustRightInd/>
        <w:snapToGrid/>
        <w:spacing w:line="600" w:lineRule="exact"/>
        <w:ind w:left="560" w:leftChars="200"/>
        <w:textAlignment w:val="auto"/>
        <w:rPr>
          <w:rFonts w:ascii="Times New Roman" w:hAnsi="Times New Roman" w:eastAsia="黑体"/>
          <w:sz w:val="32"/>
          <w:szCs w:val="32"/>
        </w:rPr>
      </w:pPr>
      <w:r>
        <w:rPr>
          <w:rFonts w:hint="eastAsia" w:eastAsia="仿宋_GB2312"/>
          <w:sz w:val="32"/>
          <w:szCs w:val="32"/>
        </w:rPr>
        <w:t>无。</w:t>
      </w:r>
    </w:p>
    <w:p w14:paraId="32851C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六、部门整体支出绩效情况</w:t>
      </w:r>
    </w:p>
    <w:p w14:paraId="7380B37C">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2024年</w:t>
      </w:r>
      <w:r>
        <w:rPr>
          <w:rFonts w:ascii="Times New Roman" w:hAnsi="Times New Roman" w:eastAsia="仿宋_GB2312"/>
          <w:color w:val="000000"/>
          <w:sz w:val="32"/>
          <w:szCs w:val="32"/>
        </w:rPr>
        <w:t>，我</w:t>
      </w:r>
      <w:r>
        <w:rPr>
          <w:rFonts w:hint="eastAsia" w:ascii="Times New Roman" w:hAnsi="Times New Roman" w:eastAsia="仿宋_GB2312"/>
          <w:color w:val="000000"/>
          <w:sz w:val="32"/>
          <w:szCs w:val="32"/>
        </w:rPr>
        <w:t>单位</w:t>
      </w:r>
      <w:r>
        <w:rPr>
          <w:rFonts w:ascii="Times New Roman" w:hAnsi="Times New Roman" w:eastAsia="仿宋_GB2312"/>
          <w:color w:val="000000"/>
          <w:sz w:val="32"/>
          <w:szCs w:val="32"/>
        </w:rPr>
        <w:t>严格按</w:t>
      </w:r>
      <w:r>
        <w:rPr>
          <w:rFonts w:hint="eastAsia" w:ascii="Times New Roman" w:hAnsi="Times New Roman" w:eastAsia="仿宋_GB2312"/>
          <w:color w:val="000000"/>
          <w:sz w:val="32"/>
          <w:szCs w:val="32"/>
        </w:rPr>
        <w:t>岳阳市财政局</w:t>
      </w:r>
      <w:r>
        <w:rPr>
          <w:rFonts w:ascii="Times New Roman" w:hAnsi="Times New Roman" w:eastAsia="仿宋_GB2312"/>
          <w:color w:val="000000"/>
          <w:sz w:val="32"/>
          <w:szCs w:val="32"/>
        </w:rPr>
        <w:t>的批复执行预算，增强了职能履行和重点工作经费的保障能力；加快预算执行进度，提高资金使用绩效；加强财务监督检查，财务管理水平稳步提高。</w:t>
      </w:r>
      <w:r>
        <w:rPr>
          <w:rFonts w:hint="eastAsia" w:ascii="Times New Roman" w:hAnsi="Times New Roman" w:eastAsia="仿宋_GB2312"/>
          <w:color w:val="000000"/>
          <w:sz w:val="32"/>
          <w:szCs w:val="32"/>
          <w:lang w:eastAsia="zh-CN"/>
        </w:rPr>
        <w:t>2024年</w:t>
      </w:r>
      <w:r>
        <w:rPr>
          <w:rFonts w:ascii="Times New Roman" w:hAnsi="Times New Roman" w:eastAsia="仿宋_GB2312"/>
          <w:color w:val="000000"/>
          <w:sz w:val="32"/>
          <w:szCs w:val="32"/>
        </w:rPr>
        <w:t>，我</w:t>
      </w:r>
      <w:r>
        <w:rPr>
          <w:rFonts w:hint="eastAsia" w:ascii="Times New Roman" w:hAnsi="Times New Roman" w:eastAsia="仿宋_GB2312"/>
          <w:color w:val="000000"/>
          <w:sz w:val="32"/>
          <w:szCs w:val="32"/>
        </w:rPr>
        <w:t>单位</w:t>
      </w:r>
      <w:r>
        <w:rPr>
          <w:rFonts w:ascii="Times New Roman" w:hAnsi="Times New Roman" w:eastAsia="仿宋_GB2312"/>
          <w:color w:val="000000"/>
          <w:sz w:val="32"/>
          <w:szCs w:val="32"/>
        </w:rPr>
        <w:t>部门整体支出重点绩效情况如下：</w:t>
      </w:r>
    </w:p>
    <w:p w14:paraId="031206B5">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楷体_GB2312"/>
          <w:b/>
          <w:sz w:val="32"/>
          <w:szCs w:val="32"/>
        </w:rPr>
      </w:pPr>
      <w:r>
        <w:rPr>
          <w:rFonts w:ascii="Times New Roman" w:hAnsi="Times New Roman" w:eastAsia="楷体_GB2312"/>
          <w:b/>
          <w:sz w:val="32"/>
          <w:szCs w:val="32"/>
        </w:rPr>
        <w:t>（一）运行成本</w:t>
      </w:r>
    </w:p>
    <w:p w14:paraId="762FBECB">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2024年</w:t>
      </w:r>
      <w:r>
        <w:rPr>
          <w:rFonts w:ascii="Times New Roman" w:hAnsi="Times New Roman" w:eastAsia="仿宋_GB2312"/>
          <w:sz w:val="32"/>
          <w:szCs w:val="32"/>
        </w:rPr>
        <w:t>，</w:t>
      </w:r>
      <w:r>
        <w:rPr>
          <w:rFonts w:hint="eastAsia" w:ascii="Times New Roman" w:hAnsi="Times New Roman" w:eastAsia="仿宋_GB2312"/>
          <w:sz w:val="32"/>
          <w:szCs w:val="32"/>
        </w:rPr>
        <w:t>我单位</w:t>
      </w:r>
      <w:r>
        <w:rPr>
          <w:rFonts w:ascii="Times New Roman" w:hAnsi="Times New Roman" w:eastAsia="仿宋_GB2312"/>
          <w:sz w:val="32"/>
          <w:szCs w:val="32"/>
        </w:rPr>
        <w:t>全年一般公共预算财政拨款安排的基本支出</w:t>
      </w:r>
      <w:r>
        <w:rPr>
          <w:rFonts w:hint="eastAsia" w:ascii="Times New Roman" w:hAnsi="Times New Roman" w:eastAsia="仿宋_GB2312"/>
          <w:sz w:val="32"/>
          <w:szCs w:val="32"/>
          <w:lang w:val="en-US" w:eastAsia="zh-CN"/>
        </w:rPr>
        <w:t>110.54</w:t>
      </w:r>
      <w:r>
        <w:rPr>
          <w:rFonts w:ascii="Times New Roman" w:hAnsi="Times New Roman" w:eastAsia="仿宋_GB2312"/>
          <w:sz w:val="32"/>
          <w:szCs w:val="32"/>
        </w:rPr>
        <w:t>万元，其中，人员经费</w:t>
      </w:r>
      <w:r>
        <w:rPr>
          <w:rFonts w:hint="eastAsia" w:ascii="Times New Roman" w:hAnsi="Times New Roman" w:eastAsia="仿宋_GB2312"/>
          <w:sz w:val="32"/>
          <w:szCs w:val="32"/>
          <w:lang w:val="en-US" w:eastAsia="zh-CN"/>
        </w:rPr>
        <w:t>99.5</w:t>
      </w:r>
      <w:r>
        <w:rPr>
          <w:rFonts w:ascii="Times New Roman" w:hAnsi="Times New Roman" w:eastAsia="仿宋_GB2312"/>
          <w:sz w:val="32"/>
          <w:szCs w:val="32"/>
        </w:rPr>
        <w:t>万元，日常公用经费</w:t>
      </w:r>
      <w:r>
        <w:rPr>
          <w:rFonts w:hint="eastAsia" w:ascii="Times New Roman" w:hAnsi="Times New Roman" w:eastAsia="仿宋_GB2312"/>
          <w:sz w:val="32"/>
          <w:szCs w:val="32"/>
          <w:lang w:val="en-US" w:eastAsia="zh-CN"/>
        </w:rPr>
        <w:t>11.04</w:t>
      </w:r>
      <w:r>
        <w:rPr>
          <w:rFonts w:ascii="Times New Roman" w:hAnsi="Times New Roman" w:eastAsia="仿宋_GB2312"/>
          <w:sz w:val="32"/>
          <w:szCs w:val="32"/>
        </w:rPr>
        <w:t>万元。根据</w:t>
      </w:r>
      <w:r>
        <w:rPr>
          <w:rFonts w:hint="eastAsia" w:ascii="Times New Roman" w:hAnsi="Times New Roman" w:eastAsia="仿宋_GB2312"/>
          <w:sz w:val="32"/>
          <w:szCs w:val="32"/>
        </w:rPr>
        <w:t>市直</w:t>
      </w:r>
      <w:r>
        <w:rPr>
          <w:rFonts w:ascii="Times New Roman" w:hAnsi="Times New Roman" w:eastAsia="仿宋_GB2312"/>
          <w:sz w:val="32"/>
          <w:szCs w:val="32"/>
        </w:rPr>
        <w:t>相关工资标准支出人员经费，不超范围不超标准；严格落实中央和省</w:t>
      </w:r>
      <w:r>
        <w:rPr>
          <w:rFonts w:hint="eastAsia" w:ascii="Times New Roman" w:hAnsi="Times New Roman" w:eastAsia="仿宋_GB2312"/>
          <w:sz w:val="32"/>
          <w:szCs w:val="32"/>
        </w:rPr>
        <w:t>市</w:t>
      </w:r>
      <w:r>
        <w:rPr>
          <w:rFonts w:ascii="Times New Roman" w:hAnsi="Times New Roman" w:eastAsia="仿宋_GB2312"/>
          <w:sz w:val="32"/>
          <w:szCs w:val="32"/>
        </w:rPr>
        <w:t>关于压减一般性支出相关规定，坚持厉行节约，遵守国家财务管理规定，重大重点支出坚持事前审批，严格执行一般性公务支出标准，加快预算执行进度。</w:t>
      </w:r>
    </w:p>
    <w:p w14:paraId="3F31C665">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sz w:val="32"/>
          <w:szCs w:val="32"/>
        </w:rPr>
      </w:pPr>
      <w:r>
        <w:rPr>
          <w:rFonts w:ascii="Times New Roman" w:hAnsi="Times New Roman" w:eastAsia="楷体_GB2312"/>
          <w:b/>
          <w:sz w:val="32"/>
          <w:szCs w:val="32"/>
        </w:rPr>
        <w:t>（二）管理效率</w:t>
      </w:r>
    </w:p>
    <w:p w14:paraId="191F2E0A">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2024年</w:t>
      </w:r>
      <w:r>
        <w:rPr>
          <w:rFonts w:ascii="Times New Roman" w:hAnsi="Times New Roman" w:eastAsia="仿宋_GB2312"/>
          <w:sz w:val="32"/>
          <w:szCs w:val="32"/>
        </w:rPr>
        <w:t>，</w:t>
      </w:r>
      <w:r>
        <w:rPr>
          <w:rFonts w:hint="eastAsia" w:ascii="Times New Roman" w:hAnsi="Times New Roman" w:eastAsia="仿宋_GB2312"/>
          <w:sz w:val="32"/>
          <w:szCs w:val="32"/>
        </w:rPr>
        <w:t>我单位</w:t>
      </w:r>
      <w:r>
        <w:rPr>
          <w:rFonts w:ascii="Times New Roman" w:hAnsi="Times New Roman" w:eastAsia="仿宋_GB2312"/>
          <w:sz w:val="32"/>
          <w:szCs w:val="32"/>
        </w:rPr>
        <w:t>财政拨款预算收入</w:t>
      </w:r>
      <w:r>
        <w:rPr>
          <w:rFonts w:hint="eastAsia" w:ascii="Times New Roman" w:hAnsi="Times New Roman" w:eastAsia="仿宋_GB2312"/>
          <w:sz w:val="32"/>
          <w:szCs w:val="32"/>
          <w:highlight w:val="none"/>
          <w:lang w:val="en-US" w:eastAsia="zh-CN"/>
        </w:rPr>
        <w:t>4239.62</w:t>
      </w:r>
      <w:r>
        <w:rPr>
          <w:rFonts w:ascii="Times New Roman" w:hAnsi="Times New Roman" w:eastAsia="仿宋_GB2312"/>
          <w:sz w:val="32"/>
          <w:szCs w:val="32"/>
          <w:highlight w:val="none"/>
        </w:rPr>
        <w:t>万元，支出</w:t>
      </w:r>
      <w:r>
        <w:rPr>
          <w:rFonts w:hint="eastAsia" w:ascii="Times New Roman" w:hAnsi="Times New Roman" w:eastAsia="仿宋_GB2312"/>
          <w:sz w:val="32"/>
          <w:szCs w:val="32"/>
          <w:highlight w:val="none"/>
          <w:lang w:val="en-US" w:eastAsia="zh-CN"/>
        </w:rPr>
        <w:t>4239.62</w:t>
      </w:r>
      <w:r>
        <w:rPr>
          <w:rFonts w:ascii="Times New Roman" w:hAnsi="Times New Roman" w:eastAsia="仿宋_GB2312"/>
          <w:sz w:val="32"/>
          <w:szCs w:val="32"/>
          <w:highlight w:val="none"/>
        </w:rPr>
        <w:t>万元，年末结余</w:t>
      </w:r>
      <w:r>
        <w:rPr>
          <w:rFonts w:hint="eastAsia" w:ascii="Times New Roman" w:hAnsi="Times New Roman" w:eastAsia="仿宋_GB2312"/>
          <w:sz w:val="32"/>
          <w:szCs w:val="32"/>
          <w:highlight w:val="none"/>
          <w:lang w:val="en-US" w:eastAsia="zh-CN"/>
        </w:rPr>
        <w:t>0</w:t>
      </w:r>
      <w:r>
        <w:rPr>
          <w:rFonts w:ascii="Times New Roman" w:hAnsi="Times New Roman" w:eastAsia="仿宋_GB2312"/>
          <w:sz w:val="32"/>
          <w:szCs w:val="32"/>
          <w:highlight w:val="none"/>
        </w:rPr>
        <w:t>万元，预算执</w:t>
      </w:r>
      <w:r>
        <w:rPr>
          <w:rFonts w:ascii="Times New Roman" w:hAnsi="Times New Roman" w:eastAsia="仿宋_GB2312"/>
          <w:sz w:val="32"/>
          <w:szCs w:val="32"/>
        </w:rPr>
        <w:t>行率为</w:t>
      </w:r>
      <w:r>
        <w:rPr>
          <w:rFonts w:hint="eastAsia" w:ascii="Times New Roman" w:hAnsi="Times New Roman" w:eastAsia="仿宋_GB2312"/>
          <w:sz w:val="32"/>
          <w:szCs w:val="32"/>
          <w:lang w:val="en-US" w:eastAsia="zh-CN"/>
        </w:rPr>
        <w:t>100</w:t>
      </w:r>
      <w:r>
        <w:rPr>
          <w:rFonts w:ascii="Times New Roman" w:hAnsi="Times New Roman" w:eastAsia="仿宋_GB2312"/>
          <w:sz w:val="32"/>
          <w:szCs w:val="32"/>
        </w:rPr>
        <w:t>%。</w:t>
      </w:r>
    </w:p>
    <w:p w14:paraId="13C00D0F">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sz w:val="32"/>
          <w:szCs w:val="32"/>
        </w:rPr>
      </w:pPr>
      <w:r>
        <w:rPr>
          <w:rFonts w:ascii="Times New Roman" w:hAnsi="Times New Roman" w:eastAsia="仿宋_GB2312"/>
          <w:sz w:val="32"/>
          <w:szCs w:val="32"/>
        </w:rPr>
        <w:t>从结余情况看，</w:t>
      </w:r>
      <w:r>
        <w:rPr>
          <w:rFonts w:hint="eastAsia" w:ascii="Times New Roman" w:hAnsi="Times New Roman" w:eastAsia="仿宋_GB2312"/>
          <w:sz w:val="32"/>
          <w:szCs w:val="32"/>
        </w:rPr>
        <w:t>我单位</w:t>
      </w:r>
      <w:r>
        <w:rPr>
          <w:rFonts w:ascii="Times New Roman" w:hAnsi="Times New Roman" w:eastAsia="仿宋_GB2312"/>
          <w:sz w:val="32"/>
          <w:szCs w:val="32"/>
        </w:rPr>
        <w:t>预算执行率</w:t>
      </w:r>
      <w:r>
        <w:rPr>
          <w:rFonts w:hint="eastAsia" w:ascii="Times New Roman" w:hAnsi="Times New Roman" w:eastAsia="仿宋_GB2312"/>
          <w:sz w:val="32"/>
          <w:szCs w:val="32"/>
        </w:rPr>
        <w:t>完成较好。</w:t>
      </w:r>
      <w:r>
        <w:rPr>
          <w:rFonts w:ascii="Times New Roman" w:hAnsi="Times New Roman" w:eastAsia="仿宋_GB2312"/>
          <w:sz w:val="32"/>
          <w:szCs w:val="32"/>
        </w:rPr>
        <w:t>今后</w:t>
      </w:r>
      <w:r>
        <w:rPr>
          <w:rFonts w:hint="eastAsia" w:ascii="Times New Roman" w:hAnsi="Times New Roman" w:eastAsia="仿宋_GB2312"/>
          <w:sz w:val="32"/>
          <w:szCs w:val="32"/>
        </w:rPr>
        <w:t>将继续</w:t>
      </w:r>
      <w:r>
        <w:rPr>
          <w:rFonts w:ascii="Times New Roman" w:hAnsi="Times New Roman" w:eastAsia="仿宋_GB2312"/>
          <w:sz w:val="32"/>
          <w:szCs w:val="32"/>
        </w:rPr>
        <w:t>加强</w:t>
      </w:r>
      <w:r>
        <w:rPr>
          <w:rFonts w:hint="eastAsia" w:ascii="Times New Roman" w:hAnsi="Times New Roman" w:eastAsia="仿宋_GB2312"/>
          <w:sz w:val="32"/>
          <w:szCs w:val="32"/>
        </w:rPr>
        <w:t>预算指标准确度和精细度</w:t>
      </w:r>
      <w:r>
        <w:rPr>
          <w:rFonts w:ascii="Times New Roman" w:hAnsi="Times New Roman" w:eastAsia="仿宋_GB2312"/>
          <w:sz w:val="32"/>
          <w:szCs w:val="32"/>
        </w:rPr>
        <w:t>，定期调度预算执行进度，提升资金支付效率。</w:t>
      </w:r>
    </w:p>
    <w:p w14:paraId="5222C639">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color w:val="000000"/>
          <w:sz w:val="32"/>
          <w:szCs w:val="32"/>
        </w:rPr>
      </w:pPr>
      <w:r>
        <w:rPr>
          <w:rFonts w:ascii="Times New Roman" w:hAnsi="Times New Roman" w:eastAsia="楷体_GB2312"/>
          <w:b/>
          <w:sz w:val="32"/>
          <w:szCs w:val="32"/>
        </w:rPr>
        <w:t>（三）履职效能</w:t>
      </w:r>
    </w:p>
    <w:p w14:paraId="22DE0E1F">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2024年</w:t>
      </w:r>
      <w:r>
        <w:rPr>
          <w:rFonts w:ascii="Times New Roman" w:hAnsi="Times New Roman" w:eastAsia="仿宋_GB2312"/>
          <w:color w:val="000000"/>
          <w:sz w:val="32"/>
          <w:szCs w:val="32"/>
        </w:rPr>
        <w:t>以来，案件管理中心</w:t>
      </w:r>
      <w:r>
        <w:rPr>
          <w:rFonts w:hint="eastAsia" w:ascii="Times New Roman" w:hAnsi="Times New Roman" w:eastAsia="仿宋_GB2312"/>
          <w:color w:val="000000"/>
          <w:sz w:val="32"/>
          <w:szCs w:val="32"/>
        </w:rPr>
        <w:t>坚持贯彻落实市纪委监委决策部署，认清形势任务，始终以时时放心不下的责任感，紧贴职能职责，统筹抓好各项工作，确保留置场所安全平稳</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进一步加强沟通协调、增进共识，为审查调查工作顺利开展提供更加有力保障。</w:t>
      </w:r>
    </w:p>
    <w:p w14:paraId="37CFB1AE">
      <w:pPr>
        <w:pStyle w:val="7"/>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黑体"/>
          <w:sz w:val="32"/>
          <w:szCs w:val="32"/>
        </w:rPr>
      </w:pPr>
      <w:r>
        <w:rPr>
          <w:rFonts w:ascii="Times New Roman" w:hAnsi="Times New Roman" w:eastAsia="黑体"/>
          <w:sz w:val="32"/>
          <w:szCs w:val="32"/>
        </w:rPr>
        <w:t>七、存在的问题及原因分析</w:t>
      </w:r>
    </w:p>
    <w:p w14:paraId="3FE9F26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sz w:val="32"/>
          <w:szCs w:val="32"/>
          <w:lang w:val="en-US"/>
        </w:rPr>
      </w:pPr>
      <w:r>
        <w:rPr>
          <w:rFonts w:hint="eastAsia" w:ascii="Times New Roman" w:hAnsi="Times New Roman" w:eastAsia="仿宋_GB2312" w:cs="Times New Roman"/>
          <w:color w:val="000000"/>
          <w:sz w:val="32"/>
          <w:szCs w:val="32"/>
          <w:highlight w:val="none"/>
          <w:lang w:val="en-US" w:eastAsia="zh-CN" w:bidi="ar-SA"/>
        </w:rPr>
        <w:t>2024年度整体支出未偏离绩效目标</w:t>
      </w:r>
    </w:p>
    <w:p w14:paraId="0FC8CA6B">
      <w:pPr>
        <w:pStyle w:val="7"/>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sz w:val="32"/>
          <w:szCs w:val="32"/>
          <w:lang w:eastAsia="zh-CN"/>
        </w:rPr>
      </w:pPr>
      <w:r>
        <w:rPr>
          <w:rFonts w:hint="eastAsia" w:ascii="Times New Roman" w:hAnsi="Times New Roman" w:eastAsia="黑体"/>
          <w:sz w:val="32"/>
          <w:szCs w:val="32"/>
          <w:lang w:eastAsia="zh-CN"/>
        </w:rPr>
        <w:t>八、</w:t>
      </w:r>
      <w:r>
        <w:rPr>
          <w:rFonts w:ascii="Times New Roman" w:hAnsi="Times New Roman" w:eastAsia="黑体"/>
          <w:sz w:val="32"/>
          <w:szCs w:val="32"/>
        </w:rPr>
        <w:t>下一步改进措施</w:t>
      </w:r>
    </w:p>
    <w:p w14:paraId="02A4039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Times New Roman" w:hAnsi="Times New Roman" w:eastAsia="仿宋_GB2312"/>
          <w:sz w:val="32"/>
          <w:szCs w:val="32"/>
          <w:lang w:eastAsia="zh-CN"/>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lang w:eastAsia="zh-CN"/>
        </w:rPr>
        <w:t>健全绩效管理制度</w:t>
      </w:r>
      <w:r>
        <w:rPr>
          <w:rFonts w:hint="eastAsia" w:ascii="Times New Roman" w:hAnsi="Times New Roman" w:eastAsia="楷体_GB2312"/>
          <w:b/>
          <w:sz w:val="32"/>
          <w:szCs w:val="32"/>
        </w:rPr>
        <w:t>。</w:t>
      </w:r>
      <w:r>
        <w:rPr>
          <w:rFonts w:hint="eastAsia" w:ascii="Times New Roman" w:hAnsi="Times New Roman" w:eastAsia="仿宋_GB2312"/>
          <w:sz w:val="32"/>
          <w:szCs w:val="32"/>
        </w:rPr>
        <w:t>及时健全建立与本单位配套的绩效</w:t>
      </w:r>
      <w:r>
        <w:rPr>
          <w:rFonts w:hint="eastAsia" w:ascii="Times New Roman" w:hAnsi="Times New Roman" w:eastAsia="仿宋_GB2312"/>
          <w:sz w:val="32"/>
          <w:szCs w:val="32"/>
          <w:lang w:eastAsia="zh-CN"/>
        </w:rPr>
        <w:t>自评</w:t>
      </w:r>
      <w:r>
        <w:rPr>
          <w:rFonts w:hint="eastAsia" w:ascii="Times New Roman" w:hAnsi="Times New Roman" w:eastAsia="仿宋_GB2312"/>
          <w:sz w:val="32"/>
          <w:szCs w:val="32"/>
        </w:rPr>
        <w:t>流程制度，避免执行结果的偏差，及时矫正不规范行为，明确职责和权限，促进各项工作流程良性循环</w:t>
      </w:r>
      <w:r>
        <w:rPr>
          <w:rFonts w:hint="eastAsia" w:ascii="Times New Roman" w:hAnsi="Times New Roman" w:eastAsia="仿宋_GB2312"/>
          <w:sz w:val="32"/>
          <w:szCs w:val="32"/>
          <w:lang w:eastAsia="zh-CN"/>
        </w:rPr>
        <w:t>。</w:t>
      </w:r>
    </w:p>
    <w:p w14:paraId="0D50906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Times New Roman" w:hAnsi="Times New Roman" w:eastAsia="仿宋_GB2312"/>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二</w:t>
      </w:r>
      <w:r>
        <w:rPr>
          <w:rFonts w:ascii="Times New Roman" w:hAnsi="Times New Roman" w:eastAsia="楷体_GB2312"/>
          <w:b/>
          <w:sz w:val="32"/>
          <w:szCs w:val="32"/>
        </w:rPr>
        <w:t>）</w:t>
      </w:r>
      <w:r>
        <w:rPr>
          <w:rFonts w:hint="eastAsia" w:ascii="Times New Roman" w:hAnsi="Times New Roman" w:eastAsia="楷体_GB2312"/>
          <w:b/>
          <w:sz w:val="32"/>
          <w:szCs w:val="32"/>
        </w:rPr>
        <w:t>科学合理设置绩效评价指标</w:t>
      </w:r>
      <w:r>
        <w:rPr>
          <w:rFonts w:ascii="Times New Roman" w:hAnsi="Times New Roman" w:eastAsia="楷体_GB2312"/>
          <w:b/>
          <w:sz w:val="32"/>
          <w:szCs w:val="32"/>
        </w:rPr>
        <w:t>。</w:t>
      </w:r>
      <w:r>
        <w:rPr>
          <w:rFonts w:hint="eastAsia" w:ascii="Times New Roman" w:hAnsi="Times New Roman" w:eastAsia="仿宋_GB2312"/>
          <w:sz w:val="32"/>
          <w:szCs w:val="32"/>
        </w:rPr>
        <w:t>在编制环节，应当围绕年度工作任务，参考往年的预算执行情况，充分论证、严格筛选，从数量、质量等多方面进行考虑，优先选取最具代表性、能全面反映单位产出和效益的指标，力求精简实用，尽可能量化，同时佐证材料搜集要方便可取。</w:t>
      </w:r>
    </w:p>
    <w:p w14:paraId="628A479A">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643" w:firstLineChars="200"/>
        <w:textAlignment w:val="auto"/>
        <w:rPr>
          <w:rFonts w:ascii="Times New Roman" w:hAnsi="Times New Roman" w:eastAsia="仿宋_GB2312"/>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三</w:t>
      </w:r>
      <w:r>
        <w:rPr>
          <w:rFonts w:ascii="Times New Roman" w:hAnsi="Times New Roman" w:eastAsia="楷体_GB2312"/>
          <w:b/>
          <w:sz w:val="32"/>
          <w:szCs w:val="32"/>
        </w:rPr>
        <w:t>）</w:t>
      </w:r>
      <w:r>
        <w:rPr>
          <w:rFonts w:hint="eastAsia" w:ascii="Times New Roman" w:hAnsi="Times New Roman" w:eastAsia="楷体_GB2312"/>
          <w:b/>
          <w:sz w:val="32"/>
          <w:szCs w:val="32"/>
        </w:rPr>
        <w:t>注重结果运用。</w:t>
      </w:r>
      <w:r>
        <w:rPr>
          <w:rFonts w:hint="eastAsia" w:ascii="Times New Roman" w:hAnsi="Times New Roman" w:eastAsia="仿宋_GB2312"/>
          <w:sz w:val="32"/>
          <w:szCs w:val="32"/>
        </w:rPr>
        <w:t>注重绩效评价结果的运用，对照绩效评价工作中发现的问题，结合绩效评价报告中提出的整改意见，进一步完善预算管理机制，增强支出责任，规范资金使用，强化监督检查，强化财政资金管理水平，提高财政资金使用效益，为预算资金使用效益的提高提供基础保障。</w:t>
      </w:r>
    </w:p>
    <w:p w14:paraId="04541B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lang w:eastAsia="zh-CN"/>
        </w:rPr>
        <w:t>九、</w:t>
      </w:r>
      <w:r>
        <w:rPr>
          <w:rFonts w:ascii="Times New Roman" w:hAnsi="Times New Roman" w:eastAsia="黑体"/>
          <w:sz w:val="32"/>
          <w:szCs w:val="32"/>
        </w:rPr>
        <w:t>部门整体支出绩效自评结果拟应用和公开情况</w:t>
      </w:r>
    </w:p>
    <w:p w14:paraId="7D13FA00">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eastAsia="仿宋_GB2312" w:cs="Times New Roman"/>
          <w:color w:val="000000"/>
          <w:sz w:val="32"/>
          <w:szCs w:val="32"/>
          <w:highlight w:val="none"/>
          <w:lang w:val="en-US" w:eastAsia="zh-CN" w:bidi="ar-SA"/>
        </w:rPr>
      </w:pPr>
      <w:r>
        <w:rPr>
          <w:rFonts w:hint="eastAsia" w:ascii="Times New Roman" w:hAnsi="Times New Roman" w:eastAsia="仿宋_GB2312" w:cs="Times New Roman"/>
          <w:color w:val="000000"/>
          <w:sz w:val="32"/>
          <w:szCs w:val="32"/>
          <w:highlight w:val="none"/>
          <w:lang w:val="en-US" w:eastAsia="zh-CN" w:bidi="ar-SA"/>
        </w:rPr>
        <w:t>按照统一部署，在巴陵风纪网公开我单位2024年部门整体支出绩效自评报告，接受社会监督。</w:t>
      </w:r>
    </w:p>
    <w:p w14:paraId="328368FA">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Times New Roman" w:hAnsi="Times New Roman" w:eastAsia="仿宋_GB2312" w:cs="Times New Roman"/>
          <w:color w:val="000000"/>
          <w:sz w:val="32"/>
          <w:szCs w:val="32"/>
          <w:highlight w:val="none"/>
          <w:lang w:val="en-US" w:eastAsia="zh-CN" w:bidi="ar-SA"/>
        </w:rPr>
      </w:pPr>
    </w:p>
    <w:p w14:paraId="51EF0B92">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报告需要以下附件：</w:t>
      </w:r>
    </w:p>
    <w:p w14:paraId="09BB042E">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1.部门整体支出绩效评价基础数据表</w:t>
      </w:r>
    </w:p>
    <w:p w14:paraId="651D0604">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2.部门整体支出绩效自评表</w:t>
      </w:r>
    </w:p>
    <w:p w14:paraId="43C122B6">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3.项目支出绩效自评表（一个一级项目支出一张表）</w:t>
      </w:r>
    </w:p>
    <w:p w14:paraId="73B47370">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4.政府性基金预算支出情况表（无）</w:t>
      </w:r>
    </w:p>
    <w:p w14:paraId="61A2775B">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5.国有资本经营预算支出情况表（无）</w:t>
      </w:r>
    </w:p>
    <w:p w14:paraId="7DD03DB1">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6.社会保险基金预算支出情况表（无）</w:t>
      </w:r>
    </w:p>
    <w:p w14:paraId="4E6A7EAF">
      <w:pPr>
        <w:keepNext w:val="0"/>
        <w:keepLines w:val="0"/>
        <w:pageBreakBefore w:val="0"/>
        <w:widowControl w:val="0"/>
        <w:kinsoku/>
        <w:wordWrap/>
        <w:overflowPunct/>
        <w:topLinePunct w:val="0"/>
        <w:autoSpaceDE/>
        <w:autoSpaceDN/>
        <w:bidi w:val="0"/>
        <w:adjustRightInd/>
        <w:snapToGrid/>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9D18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32F1C27">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32F1C27">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3BD08"/>
    <w:multiLevelType w:val="singleLevel"/>
    <w:tmpl w:val="D513BD08"/>
    <w:lvl w:ilvl="0" w:tentative="0">
      <w:start w:val="2"/>
      <w:numFmt w:val="chineseCounting"/>
      <w:suff w:val="nothing"/>
      <w:lvlText w:val="（%1）"/>
      <w:lvlJc w:val="left"/>
      <w:rPr>
        <w:rFonts w:hint="eastAsia"/>
      </w:rPr>
    </w:lvl>
  </w:abstractNum>
  <w:abstractNum w:abstractNumId="1">
    <w:nsid w:val="0B3AF183"/>
    <w:multiLevelType w:val="singleLevel"/>
    <w:tmpl w:val="0B3AF183"/>
    <w:lvl w:ilvl="0" w:tentative="0">
      <w:start w:val="4"/>
      <w:numFmt w:val="chineseCounting"/>
      <w:suff w:val="nothing"/>
      <w:lvlText w:val="%1、"/>
      <w:lvlJc w:val="left"/>
      <w:rPr>
        <w:rFonts w:hint="eastAsia"/>
      </w:rPr>
    </w:lvl>
  </w:abstractNum>
  <w:abstractNum w:abstractNumId="2">
    <w:nsid w:val="4E1C55C5"/>
    <w:multiLevelType w:val="singleLevel"/>
    <w:tmpl w:val="4E1C55C5"/>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14947"/>
    <w:rsid w:val="00023D4F"/>
    <w:rsid w:val="00405208"/>
    <w:rsid w:val="0041389C"/>
    <w:rsid w:val="00964B5B"/>
    <w:rsid w:val="00A24DCC"/>
    <w:rsid w:val="00C34E33"/>
    <w:rsid w:val="00C5087C"/>
    <w:rsid w:val="00D257A6"/>
    <w:rsid w:val="00FF70DD"/>
    <w:rsid w:val="05A9346C"/>
    <w:rsid w:val="05C62D57"/>
    <w:rsid w:val="07D0227B"/>
    <w:rsid w:val="0D757126"/>
    <w:rsid w:val="0E7A4F3B"/>
    <w:rsid w:val="11282A6E"/>
    <w:rsid w:val="11D01A43"/>
    <w:rsid w:val="11EB0C3F"/>
    <w:rsid w:val="12057C48"/>
    <w:rsid w:val="15C838CC"/>
    <w:rsid w:val="168E4593"/>
    <w:rsid w:val="178533D5"/>
    <w:rsid w:val="186F66CF"/>
    <w:rsid w:val="1BC85FA4"/>
    <w:rsid w:val="219B71B0"/>
    <w:rsid w:val="22B20386"/>
    <w:rsid w:val="25E70E85"/>
    <w:rsid w:val="277B3DA9"/>
    <w:rsid w:val="285478B9"/>
    <w:rsid w:val="2A6F6890"/>
    <w:rsid w:val="2ABA2EFC"/>
    <w:rsid w:val="2B19692F"/>
    <w:rsid w:val="2B7A7721"/>
    <w:rsid w:val="2FC56167"/>
    <w:rsid w:val="30CF5A24"/>
    <w:rsid w:val="316C3324"/>
    <w:rsid w:val="31D756F2"/>
    <w:rsid w:val="347C18DD"/>
    <w:rsid w:val="35085D0E"/>
    <w:rsid w:val="35A66ED5"/>
    <w:rsid w:val="36EE26AB"/>
    <w:rsid w:val="385D3B87"/>
    <w:rsid w:val="3F155800"/>
    <w:rsid w:val="40C11417"/>
    <w:rsid w:val="417B75B2"/>
    <w:rsid w:val="41EA259F"/>
    <w:rsid w:val="426A6C05"/>
    <w:rsid w:val="431A5637"/>
    <w:rsid w:val="438B7867"/>
    <w:rsid w:val="43ED6D81"/>
    <w:rsid w:val="44177BC5"/>
    <w:rsid w:val="452340CD"/>
    <w:rsid w:val="462C3A2D"/>
    <w:rsid w:val="46BA3565"/>
    <w:rsid w:val="48706D2A"/>
    <w:rsid w:val="4B20448C"/>
    <w:rsid w:val="55137666"/>
    <w:rsid w:val="55410F72"/>
    <w:rsid w:val="56214947"/>
    <w:rsid w:val="56B672D1"/>
    <w:rsid w:val="59F1681C"/>
    <w:rsid w:val="5B2E6224"/>
    <w:rsid w:val="5BB70707"/>
    <w:rsid w:val="5C5305C6"/>
    <w:rsid w:val="5E4A0DC9"/>
    <w:rsid w:val="5EAF03E4"/>
    <w:rsid w:val="619624DD"/>
    <w:rsid w:val="61C26C2C"/>
    <w:rsid w:val="63F02436"/>
    <w:rsid w:val="64EB7B04"/>
    <w:rsid w:val="6519533B"/>
    <w:rsid w:val="66DD3ED2"/>
    <w:rsid w:val="69D07728"/>
    <w:rsid w:val="6AB45484"/>
    <w:rsid w:val="6B9A6C62"/>
    <w:rsid w:val="6BAB61BC"/>
    <w:rsid w:val="6BD31305"/>
    <w:rsid w:val="6C165C79"/>
    <w:rsid w:val="6C531DF3"/>
    <w:rsid w:val="6D0E7BD7"/>
    <w:rsid w:val="70620683"/>
    <w:rsid w:val="708711A8"/>
    <w:rsid w:val="723E2609"/>
    <w:rsid w:val="73373314"/>
    <w:rsid w:val="74975458"/>
    <w:rsid w:val="776D5A49"/>
    <w:rsid w:val="779E4DF1"/>
    <w:rsid w:val="7A1309A9"/>
    <w:rsid w:val="7B667D04"/>
    <w:rsid w:val="7C033B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sz w:val="28"/>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99"/>
    <w:pPr>
      <w:ind w:firstLine="420" w:firstLineChars="200"/>
    </w:pPr>
    <w:rPr>
      <w:rFonts w:ascii="Calibri" w:hAnsi="Calibri"/>
      <w:szCs w:val="22"/>
    </w:rPr>
  </w:style>
  <w:style w:type="character" w:customStyle="1" w:styleId="8">
    <w:name w:val="页眉 Char"/>
    <w:basedOn w:val="6"/>
    <w:link w:val="4"/>
    <w:qFormat/>
    <w:uiPriority w:val="0"/>
    <w:rPr>
      <w:rFonts w:ascii="仿宋" w:hAnsi="仿宋"/>
      <w:sz w:val="18"/>
      <w:szCs w:val="18"/>
    </w:rPr>
  </w:style>
  <w:style w:type="character" w:customStyle="1" w:styleId="9">
    <w:name w:val="页脚 Char"/>
    <w:basedOn w:val="6"/>
    <w:link w:val="3"/>
    <w:qFormat/>
    <w:uiPriority w:val="0"/>
    <w:rPr>
      <w:rFonts w:ascii="仿宋" w:hAnsi="仿宋"/>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1502</Words>
  <Characters>1583</Characters>
  <Lines>9</Lines>
  <Paragraphs>8</Paragraphs>
  <TotalTime>0</TotalTime>
  <ScaleCrop>false</ScaleCrop>
  <LinksUpToDate>false</LinksUpToDate>
  <CharactersWithSpaces>1583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2023-07-14T13:41:00Z</dcterms:created>
  <dc:creator>向澧</dc:creator>
  <cp:lastModifiedBy>何纯</cp:lastModifiedBy>
  <cp:lastPrinted>2024-07-25T02:43:00Z</cp:lastPrinted>
  <dcterms:modified xsi:type="dcterms:W3CDTF">2025-06-30T10:03:40Z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0D10BF98E4764B8F98C0DD932A59C403</vt:lpwstr>
  </property>
  <property fmtid="{D5CDD505-2E9C-101B-9397-08002B2CF9AE}" pid="4" name="KSOTemplateDocerSaveRecord">
    <vt:lpwstr>eyJoZGlkIjoiOGMzZTY3MmJlOGM2MzBhNTM2ZGVlMWE3OTYxYjFiZWUiLCJ1c2VySWQiOiIxNDgxMDAxMDg3In0=</vt:lpwstr>
  </property>
</Properties>
</file>