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85C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</w:p>
    <w:p w14:paraId="302494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年度市纪委监委整体支出</w:t>
      </w:r>
    </w:p>
    <w:p w14:paraId="77A05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绩效自评报告</w:t>
      </w:r>
    </w:p>
    <w:p w14:paraId="3CBE550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20" w:lineRule="exact"/>
        <w:textAlignment w:val="auto"/>
        <w:rPr>
          <w:b/>
          <w:bCs/>
        </w:rPr>
      </w:pPr>
    </w:p>
    <w:p w14:paraId="7067CDD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方正黑体_GBK" w:hAnsi="方正黑体_GBK" w:eastAsia="方正黑体_GBK" w:cs="方正黑体_GBK"/>
          <w:b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/>
          <w:bCs/>
          <w:sz w:val="32"/>
          <w:szCs w:val="32"/>
          <w:lang w:eastAsia="zh-CN"/>
        </w:rPr>
        <w:t>一、</w:t>
      </w:r>
      <w:r>
        <w:rPr>
          <w:rFonts w:hint="eastAsia" w:ascii="方正黑体_GBK" w:hAnsi="方正黑体_GBK" w:eastAsia="方正黑体_GBK" w:cs="方正黑体_GBK"/>
          <w:b/>
          <w:bCs/>
          <w:sz w:val="32"/>
          <w:szCs w:val="32"/>
        </w:rPr>
        <w:t>部门（单位）基本情况</w:t>
      </w:r>
    </w:p>
    <w:p w14:paraId="682FD49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方正楷体_GBK" w:hAnsi="方正楷体_GBK" w:eastAsia="方正楷体_GBK" w:cs="方正楷体_GBK"/>
          <w:b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</w:rPr>
        <w:t>（一）职能职责</w:t>
      </w:r>
    </w:p>
    <w:p w14:paraId="3CFADE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根据《中共岳阳市纪律检查委员会、岳阳市监察委员会机关职能配置、内设机构和人员编制规定》，市纪委与市监委合署办公，实行一套工作机构、两个机关名称，履行党的纪律检查和国家监察两项职责。</w:t>
      </w:r>
    </w:p>
    <w:p w14:paraId="6F96440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方正楷体_GBK" w:hAnsi="方正楷体_GBK" w:eastAsia="方正楷体_GBK" w:cs="方正楷体_GBK"/>
          <w:b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</w:rPr>
        <w:t>（二）机构设置</w:t>
      </w:r>
    </w:p>
    <w:p w14:paraId="219FA3E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岳阳市纪委监委设置24个副处级内设机构和2个正科级内设机构。24个副处级机构：综合部门4个，即办公室、组织部、宣传部、调研法规室；监督执纪部门20个，即党风政风监督室、信访室、案件监督管理室、第一至第十五纪检监察室、案件审理室、纪检监察干部监督室。2个正科级内设机构：信息技术保障室、财务科。机关党委、机关纪委按照章程设置，机关工会、离退休人员管理服务科按相关规定设置。</w:t>
      </w:r>
    </w:p>
    <w:p w14:paraId="2F2B100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市委巡察办是中共岳阳市委巡察工作领导小组的日常办事机构，作为市委工作机关，为正处级，设在中共岳阳市纪律检查委员会。主要负责：传达贯彻中央、省委、市委、市委巡察工作领导小组的决策和部署；承担巡察工作有关的政策研究、制度建设等工作；统筹协调指导市委巡察组开展工作；协调指导县市区党委开展巡察等工作。设置3个正科级内设机构：综合联络科、巡察科、督办科。市委巡察办下设巡察事务中心，为正科级公益一类事业单位。负责全市巡查机构信息化建设工作，巡察信息资料的全面收集、统计分析、结果运用，以及参与集中巡察、调研等工作。</w:t>
      </w:r>
    </w:p>
    <w:p w14:paraId="1DC9367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岳阳市纪委监委下设案件管理中心，为正科级公益一类事业单位。负责为监督执纪问责和监督调查处置提供必要的场所和安全管理、后勤保障服务等。</w:t>
      </w:r>
    </w:p>
    <w:p w14:paraId="562D9DA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岳阳市纪委监委下设市纪委监委事务中心，为正科级公益一类事业单位。负责市纪委市监委网站的管理维护与日常运行，权威发布重大案例及重要信息，承接市纪委监委其他政事分开的辅助性、服务性等事务性工作等。</w:t>
      </w:r>
    </w:p>
    <w:p w14:paraId="422CF36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岳阳市纪委监委设置21个派驻纪检监察组：驻市委办公室纪检监察组、驻市委组织部纪检监察组、驻市委宣传部纪检监察组、驻市委政法委员会纪检监察组、驻市人大机关纪检监察组、驻市人民政府办公室纪检监察组、驻市政协机关纪检监察组、驻市发展和改革委员会纪检监察组、驻市农业农村局纪检监察组、驻市生态环境局纪检监察组、驻市交通运输局纪检监察组、驻市住房和城乡建设局纪检监察组、驻市城市管理和综合执法局纪检监察组、驻市卫生健康委员会纪检监察组、驻市财政局纪检监察组、驻市市场监督管理局纪检监察组、驻市自然资源和规划局纪检监察组、驻市人民政府国有资产监督管理委员会纪检监察组、驻市人力资源和社会保障局纪检监察组、驻市教育体育局纪检监察组、驻市公安局纪检监察组。派驻纪检监察组均设置内设机构综合科。</w:t>
      </w:r>
    </w:p>
    <w:p w14:paraId="26C991A1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市纪委市监委派驻纪检监察组履行纪检、监察两项职能。派驻机构对派驻它的机关负责，接受其直接领导。派驻机构按照干部管理权限和派驻它的机关的授权履行监督、执纪、问责和监督、调查、处置职责。驻在部门具有行业管理职能的，派驻机构可以根据授权对驻在单位管理的行业、系统实施党内监督和国家监察。</w:t>
      </w:r>
    </w:p>
    <w:p w14:paraId="10F8985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方正黑体_GBK" w:hAnsi="方正黑体_GBK" w:eastAsia="方正黑体_GBK" w:cs="方正黑体_GBK"/>
          <w:b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/>
          <w:bCs/>
          <w:sz w:val="32"/>
          <w:szCs w:val="32"/>
        </w:rPr>
        <w:t>二、一般公共预算支出情况</w:t>
      </w:r>
    </w:p>
    <w:p w14:paraId="66DB782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方正楷体_GBK" w:hAnsi="方正楷体_GBK" w:eastAsia="方正楷体_GBK" w:cs="方正楷体_GBK"/>
          <w:b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</w:rPr>
        <w:t>（一）基本支出情况</w:t>
      </w:r>
    </w:p>
    <w:p w14:paraId="5222F652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2024年基本支出年初预算数为</w:t>
      </w:r>
      <w:bookmarkStart w:id="0" w:name="_GoBack"/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4549.14</w:t>
      </w:r>
      <w:bookmarkEnd w:id="0"/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万元，是指为保障单位机构正常运转、完成日常工作任务而发生的各项支出，包括用于基本工资、津贴补贴等人员经费以及办公费、印刷费、水电费、差旅费等日常公用经费。</w:t>
      </w:r>
    </w:p>
    <w:p w14:paraId="437E729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方正楷体_GBK" w:hAnsi="方正楷体_GBK" w:eastAsia="方正楷体_GBK" w:cs="方正楷体_GBK"/>
          <w:b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</w:rPr>
        <w:t>（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eastAsia="zh-CN"/>
        </w:rPr>
        <w:t>二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</w:rPr>
        <w:t>）项目支出情况</w:t>
      </w:r>
    </w:p>
    <w:p w14:paraId="60A817A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2024年项目支出年初预算数为2714.6万元，是指部门为完成特定行政工作任务或事业发展目标而发生的支出，包括有关业务工作经费、运行维护经费、其他事业发展资金等。其中：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办案经费881万元，主要用于办案相关支出；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廉洁文化建设经费专项支出150.00万元，主要用于廉洁文化建设如建立市级廉洁文化示范基地VR馆方面；派驻纪检组工作经费专项支出93.60万元，主要用于26个派驻纪检组日常支出和办案费用方面；外查点工作经费专项支出1350.00万元，主要用于外查点租金及其正常运转开支方面；巡视巡察专项经费专项支出240.00万元，主要用于市委巡察办（组）日常开支及开展巡察工作等方面。</w:t>
      </w:r>
    </w:p>
    <w:p w14:paraId="7B2C62F2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方正黑体_GBK" w:hAnsi="方正黑体_GBK" w:eastAsia="方正黑体_GBK" w:cs="方正黑体_GBK"/>
          <w:b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/>
          <w:bCs/>
          <w:sz w:val="32"/>
          <w:szCs w:val="32"/>
          <w:lang w:eastAsia="zh-CN"/>
        </w:rPr>
        <w:t>三、</w:t>
      </w:r>
      <w:r>
        <w:rPr>
          <w:rFonts w:hint="eastAsia" w:ascii="方正黑体_GBK" w:hAnsi="方正黑体_GBK" w:eastAsia="方正黑体_GBK" w:cs="方正黑体_GBK"/>
          <w:b/>
          <w:bCs/>
          <w:sz w:val="32"/>
          <w:szCs w:val="32"/>
        </w:rPr>
        <w:t>政府性基金预算支出情况</w:t>
      </w:r>
    </w:p>
    <w:p w14:paraId="3A01778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无。</w:t>
      </w:r>
    </w:p>
    <w:p w14:paraId="01D60B1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方正黑体_GBK" w:hAnsi="方正黑体_GBK" w:eastAsia="方正黑体_GBK" w:cs="方正黑体_GBK"/>
          <w:b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/>
          <w:bCs/>
          <w:sz w:val="32"/>
          <w:szCs w:val="32"/>
        </w:rPr>
        <w:t>国有资本经营预算支出情况</w:t>
      </w:r>
    </w:p>
    <w:p w14:paraId="4FEAD33E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无。</w:t>
      </w:r>
    </w:p>
    <w:p w14:paraId="03A6525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方正黑体_GBK" w:hAnsi="方正黑体_GBK" w:eastAsia="方正黑体_GBK" w:cs="方正黑体_GBK"/>
          <w:b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/>
          <w:bCs/>
          <w:sz w:val="32"/>
          <w:szCs w:val="32"/>
          <w:lang w:eastAsia="zh-CN"/>
        </w:rPr>
        <w:t>五、</w:t>
      </w:r>
      <w:r>
        <w:rPr>
          <w:rFonts w:hint="eastAsia" w:ascii="方正黑体_GBK" w:hAnsi="方正黑体_GBK" w:eastAsia="方正黑体_GBK" w:cs="方正黑体_GBK"/>
          <w:b/>
          <w:bCs/>
          <w:sz w:val="32"/>
          <w:szCs w:val="32"/>
        </w:rPr>
        <w:t>社会保险基金预算支出情况</w:t>
      </w:r>
    </w:p>
    <w:p w14:paraId="1B42EF1E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无。</w:t>
      </w:r>
    </w:p>
    <w:p w14:paraId="0996FDB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方正黑体_GBK" w:hAnsi="方正黑体_GBK" w:eastAsia="方正黑体_GBK" w:cs="方正黑体_GBK"/>
          <w:b/>
          <w:bCs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/>
          <w:bCs/>
          <w:sz w:val="32"/>
          <w:szCs w:val="32"/>
          <w:lang w:eastAsia="zh-CN"/>
        </w:rPr>
        <w:t>六、部门整体支出绩效情况</w:t>
      </w:r>
    </w:p>
    <w:p w14:paraId="5BDE9D0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2024年，我</w:t>
      </w: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委</w:t>
      </w: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严格按</w:t>
      </w: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市财政局</w:t>
      </w: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的批复执行预算，“三公”经费、会议费等一般公务支出严格控制在预算标准内，增强了职能履行和重点工作经费保障能力；加快预算执行进度，提高资金使用绩效；持续推进预决算和“三公”经费公开，按照</w:t>
      </w: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市财政局</w:t>
      </w: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统一部署，按时按质完成</w:t>
      </w: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我委及其下属机构</w:t>
      </w: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预决算公开，规范财务管理；持续按照</w:t>
      </w: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市财政局</w:t>
      </w: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要求推进预算绩效管理，提高资金使用绩效；加强财务监督检查，财务管理水平稳步提高。2024年，我</w:t>
      </w: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委</w:t>
      </w: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部门整体支出重点绩效情况如下：</w:t>
      </w:r>
    </w:p>
    <w:p w14:paraId="5AC1C1D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方正楷体_GBK" w:hAnsi="方正楷体_GBK" w:eastAsia="方正楷体_GBK" w:cs="方正楷体_GBK"/>
          <w:b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</w:rPr>
        <w:t>（一）运行成本</w:t>
      </w:r>
    </w:p>
    <w:p w14:paraId="4693FA6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</w:rPr>
        <w:t>202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</w:rPr>
        <w:t>年，我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  <w:lang w:val="en-US" w:eastAsia="zh-CN"/>
        </w:rPr>
        <w:t>委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</w:rPr>
        <w:t>全年一般公共预算财政拨款安排的基本支出4549.14万元，其中，人员经费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  <w:lang w:val="en-US" w:eastAsia="zh-CN"/>
        </w:rPr>
        <w:t>3818.73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</w:rPr>
        <w:t>万元，日常公用经费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  <w:lang w:val="en-US" w:eastAsia="zh-CN"/>
        </w:rPr>
        <w:t>730.41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</w:rPr>
        <w:t>万元。根据市直相关工资标准支出人员经费，不超范围不超标准；严格落实中央和省市关于压减一般性支出相关规定，坚持厉行节约，遵守国家财务管理规定，重大重点支出坚持事前审批，严格执行一般性公务支出标准，加快预算执行进度。</w:t>
      </w:r>
    </w:p>
    <w:p w14:paraId="77F288C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方正楷体_GBK" w:hAnsi="方正楷体_GBK" w:eastAsia="方正楷体_GBK" w:cs="方正楷体_GBK"/>
          <w:b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</w:rPr>
        <w:t>（二）管理效率</w:t>
      </w:r>
    </w:p>
    <w:p w14:paraId="0925A6C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</w:rPr>
        <w:t>202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</w:rPr>
        <w:t>年，我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  <w:lang w:val="en-US" w:eastAsia="zh-CN"/>
        </w:rPr>
        <w:t>委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  <w:lang w:eastAsia="zh-CN"/>
        </w:rPr>
        <w:t>年初结余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  <w:lang w:val="en-US" w:eastAsia="zh-CN"/>
        </w:rPr>
        <w:t>41.88万元，本年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</w:rPr>
        <w:t>财政拨款预算收入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  <w:lang w:val="en-US" w:eastAsia="zh-CN"/>
        </w:rPr>
        <w:t>8689.81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</w:rPr>
        <w:t>万元，支出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  <w:lang w:val="en-US" w:eastAsia="zh-CN"/>
        </w:rPr>
        <w:t>8706.38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</w:rPr>
        <w:t>万元，年末结余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  <w:lang w:val="en-US" w:eastAsia="zh-CN"/>
        </w:rPr>
        <w:t>25.31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</w:rPr>
        <w:t>万元，主要为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  <w:lang w:val="en-US" w:eastAsia="zh-CN"/>
        </w:rPr>
        <w:t>项目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</w:rPr>
        <w:t>支出结余，预算执行率为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</w:rPr>
        <w:t>%。</w:t>
      </w:r>
    </w:p>
    <w:p w14:paraId="2CAFFF9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</w:rPr>
        <w:t>从结余情况看，影响预算执行率的主要原因为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  <w:lang w:val="en-US" w:eastAsia="zh-CN"/>
        </w:rPr>
        <w:t>项目支出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</w:rPr>
        <w:t>结余。今后重点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</w:rPr>
        <w:t>预算指标准确度和精细度，加强与业务部室沟通衔接，定期调度预算执行进度，提升资金支付效率。</w:t>
      </w:r>
    </w:p>
    <w:p w14:paraId="5CED454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方正楷体_GBK" w:hAnsi="方正楷体_GBK" w:eastAsia="方正楷体_GBK" w:cs="方正楷体_GBK"/>
          <w:b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</w:rPr>
        <w:t>（三）履职效能</w:t>
      </w:r>
    </w:p>
    <w:p w14:paraId="0E66729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  <w:highlight w:val="none"/>
          <w:lang w:val="en-US" w:eastAsia="zh-CN"/>
        </w:rPr>
        <w:t>2024年，在省纪委监委和市委坚强领导下，市纪委监委坚持以习近平新时代中国特色社会主义思想为指导，全面贯彻落实党的二十大和二十届二中、三中全会精神和二十届中央纪委三次全会、省十二届纪委四次全会部署，深入学习贯彻习近平总书记关于党的自我革命的重要思想，坚决落实全面从严治党战略方针，深刻领悟“两个确立”的决定性意义，自觉增强“四个意识”、坚定“四个自信”、做到“两个维护”，坚持稳中求进工作总基调，巩固拓展主题教育和教育整顿成果，紧扣“1376”总体思路，瞄准“七个岳阳”新坐标新定位，忠诚履行党章和宪法赋予的职责，推动健全全面从严治党体系，纵深推进正风肃纪反腐，纵深推进新征程纪检监察工作高质量发展，为奋力谱写社会主义现代化“七个岳阳”新篇章提供坚强保障。</w:t>
      </w:r>
    </w:p>
    <w:p w14:paraId="1C82F68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方正黑体_GBK" w:hAnsi="方正黑体_GBK" w:eastAsia="方正黑体_GBK" w:cs="方正黑体_GBK"/>
          <w:b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/>
          <w:bCs/>
          <w:sz w:val="32"/>
          <w:szCs w:val="32"/>
        </w:rPr>
        <w:t>七、存在的问题及原因分析</w:t>
      </w:r>
    </w:p>
    <w:p w14:paraId="062DAA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  <w:highlight w:val="none"/>
          <w:lang w:val="en-US" w:eastAsia="zh-CN" w:bidi="ar-SA"/>
        </w:rPr>
        <w:t>2024年度整体支出未偏离绩效目标。</w:t>
      </w:r>
    </w:p>
    <w:p w14:paraId="7C05B2E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方正黑体_GBK" w:hAnsi="方正黑体_GBK" w:eastAsia="方正黑体_GBK" w:cs="方正黑体_GBK"/>
          <w:b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/>
          <w:bCs/>
          <w:sz w:val="32"/>
          <w:szCs w:val="32"/>
          <w:lang w:eastAsia="zh-CN"/>
        </w:rPr>
        <w:t>八、</w:t>
      </w:r>
      <w:r>
        <w:rPr>
          <w:rFonts w:hint="eastAsia" w:ascii="方正黑体_GBK" w:hAnsi="方正黑体_GBK" w:eastAsia="方正黑体_GBK" w:cs="方正黑体_GBK"/>
          <w:b/>
          <w:bCs/>
          <w:sz w:val="32"/>
          <w:szCs w:val="32"/>
        </w:rPr>
        <w:t>下一步改进措施</w:t>
      </w:r>
    </w:p>
    <w:p w14:paraId="429972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  <w:highlight w:val="none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  <w:highlight w:val="none"/>
          <w:lang w:val="en-US" w:eastAsia="zh-CN" w:bidi="ar-SA"/>
        </w:rPr>
        <w:t>下一步，我委将更加从严加强资金预算管理，进一步提高财政资金使用效率，继续建立和完善相关管理制度，确保财政资金投入的成效。一是加强预算编制管理，进一步提高预算编制的科学性、合理性、严谨性和可控性。二是加强绩效评价运用，更全面更系统地运用绩效评价指标，注重履职所产生的经济、社会效益，进一步细化部门个性化指标。三是对项目支出进行优化整合，加快资金执行进度，充分开展项目绩效评价，对资金使用率不高的项目经费进行优化整合。</w:t>
      </w:r>
    </w:p>
    <w:p w14:paraId="341CA66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textAlignment w:val="auto"/>
        <w:rPr>
          <w:rFonts w:hint="eastAsia" w:ascii="方正黑体_GBK" w:hAnsi="方正黑体_GBK" w:eastAsia="方正黑体_GBK" w:cs="方正黑体_GBK"/>
          <w:b/>
          <w:bCs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/>
          <w:bCs/>
          <w:sz w:val="32"/>
          <w:szCs w:val="32"/>
          <w:lang w:val="en-US" w:eastAsia="zh-CN"/>
        </w:rPr>
        <w:t>九、部门整体支出绩效自评结果拟应用和公开情况</w:t>
      </w:r>
    </w:p>
    <w:p w14:paraId="261E24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  <w:highlight w:val="none"/>
          <w:lang w:val="en-US" w:eastAsia="zh-CN" w:bidi="ar-SA"/>
        </w:rPr>
        <w:t>按照统一部署，在巴陵风纪网公开我委2024年部门整体支出绩效自评报告，接受社会监督。</w:t>
      </w:r>
    </w:p>
    <w:p w14:paraId="40C7F6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</w:p>
    <w:p w14:paraId="55F5FA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报告需要以下附件：</w:t>
      </w:r>
    </w:p>
    <w:p w14:paraId="07278AA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部门整体支出绩效评价基础数据表</w:t>
      </w:r>
    </w:p>
    <w:p w14:paraId="5DEA7EA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firstLine="643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部门整体支出绩效自评表</w:t>
      </w:r>
    </w:p>
    <w:p w14:paraId="4015A98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firstLine="643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项目支出绩效自评表（一个一级项目支出一张表）</w:t>
      </w:r>
    </w:p>
    <w:p w14:paraId="4AD34AB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firstLine="643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政府性基金预算支出情况表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  <w:t>（无）</w:t>
      </w:r>
    </w:p>
    <w:p w14:paraId="7151D69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firstLine="643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国有资本经营预算支出情况表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  <w:t>（无）</w:t>
      </w:r>
    </w:p>
    <w:p w14:paraId="675B4B5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firstLine="643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社会保险基金预算支出情况表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  <w:t>（无）</w:t>
      </w:r>
    </w:p>
    <w:p w14:paraId="22CBEE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</w:p>
    <w:sectPr>
      <w:footerReference r:id="rId3" w:type="default"/>
      <w:pgSz w:w="11906" w:h="16838"/>
      <w:pgMar w:top="1814" w:right="1587" w:bottom="181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ECDB3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B1ECEE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AB1ECEE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34672B"/>
    <w:multiLevelType w:val="singleLevel"/>
    <w:tmpl w:val="1634672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55457F"/>
    <w:rsid w:val="0355457F"/>
    <w:rsid w:val="0A121536"/>
    <w:rsid w:val="189E2829"/>
    <w:rsid w:val="1B970898"/>
    <w:rsid w:val="256D5513"/>
    <w:rsid w:val="25FC1232"/>
    <w:rsid w:val="27FC195E"/>
    <w:rsid w:val="37980946"/>
    <w:rsid w:val="523302EC"/>
    <w:rsid w:val="5B6852F6"/>
    <w:rsid w:val="5CAA110F"/>
    <w:rsid w:val="614A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2891</Words>
  <Characters>3005</Characters>
  <Lines>0</Lines>
  <Paragraphs>0</Paragraphs>
  <TotalTime>43</TotalTime>
  <ScaleCrop>false</ScaleCrop>
  <LinksUpToDate>false</LinksUpToDate>
  <CharactersWithSpaces>3005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2025-06-26T09:58:00Z</dcterms:created>
  <dc:creator>fumon</dc:creator>
  <cp:lastModifiedBy>付敏</cp:lastModifiedBy>
  <dcterms:modified xsi:type="dcterms:W3CDTF">2025-10-15T09:09:16Z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F07931E089414AEDAE03F23D18494210_11</vt:lpwstr>
  </property>
  <property fmtid="{D5CDD505-2E9C-101B-9397-08002B2CF9AE}" pid="4" name="KSOTemplateDocerSaveRecord">
    <vt:lpwstr>eyJoZGlkIjoiMzEwNTM5NzYwMDRjMzkwZTVkZjY2ODkwMGIxNGU0OTUiLCJ1c2VySWQiOiIxNDgxMDAwNDYxIn0=</vt:lpwstr>
  </property>
</Properties>
</file>