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rPr>
          <w:rFonts w:ascii="黑体" w:hAnsi="黑体" w:eastAsia="黑体" w:cs="黑体"/>
          <w:sz w:val="32"/>
          <w:szCs w:val="32"/>
        </w:rPr>
      </w:pPr>
      <w:r>
        <w:rPr>
          <w:rFonts w:hint="eastAsia" w:ascii="黑体" w:hAnsi="黑体" w:eastAsia="黑体" w:cs="黑体"/>
          <w:sz w:val="32"/>
          <w:szCs w:val="32"/>
        </w:rPr>
        <w:t>附件1</w:t>
      </w:r>
    </w:p>
    <w:p>
      <w:pPr>
        <w:spacing w:after="156" w:afterLines="50" w:line="600" w:lineRule="exact"/>
        <w:jc w:val="center"/>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2022年度部门整体支出绩效评价基础数据表</w:t>
      </w:r>
    </w:p>
    <w:tbl>
      <w:tblPr>
        <w:tblStyle w:val="3"/>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2022年实际在职人数</w:t>
            </w:r>
          </w:p>
        </w:tc>
        <w:tc>
          <w:tcPr>
            <w:tcW w:w="2041"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281</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243　</w:t>
            </w:r>
          </w:p>
        </w:tc>
        <w:tc>
          <w:tcPr>
            <w:tcW w:w="2041"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86.12</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2021年决算数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2022年预算数</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2022年决算数</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91.48</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146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198.42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75.09</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108</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181.89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45</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98.16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75.09</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63</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83.73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16.38</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38</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16.53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3、市级专项资金（一个专项一行）</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1413.7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1413.7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1413.7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eastAsia="仿宋_GB2312"/>
                <w:sz w:val="21"/>
                <w:szCs w:val="21"/>
              </w:rPr>
              <w:t>市纪委办案经费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1081.7</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1081.7</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1081.7</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2、派驻机构工作经费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93.6</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93.6</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93.6</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3、市委巡察办巡视和巡察工作经费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238.4</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238.4</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238.4</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519.88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613.57</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685.27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55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453.82</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56.31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82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95.09</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99.07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50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23.02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50</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w:t>
            </w:r>
          </w:p>
        </w:tc>
      </w:tr>
      <w:tr>
        <w:tblPrEx>
          <w:tblCellMar>
            <w:top w:w="0" w:type="dxa"/>
            <w:left w:w="108" w:type="dxa"/>
            <w:bottom w:w="0" w:type="dxa"/>
            <w:right w:w="108" w:type="dxa"/>
          </w:tblCellMar>
        </w:tblPrEx>
        <w:trPr>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r>
              <w:rPr>
                <w:rFonts w:hint="eastAsia" w:ascii="仿宋_GB2312" w:hAnsi="仿宋_GB2312" w:eastAsia="仿宋_GB2312" w:cs="仿宋_GB2312"/>
                <w:sz w:val="20"/>
                <w:szCs w:val="20"/>
              </w:rPr>
              <w:br w:type="textWrapping"/>
            </w:r>
            <w:r>
              <w:rPr>
                <w:rFonts w:hint="eastAsia" w:ascii="仿宋_GB2312" w:hAnsi="仿宋_GB2312" w:eastAsia="仿宋_GB2312" w:cs="仿宋_GB2312"/>
                <w:sz w:val="20"/>
                <w:szCs w:val="20"/>
              </w:rPr>
              <w:t>（2022年完工项目）</w:t>
            </w:r>
          </w:p>
        </w:tc>
        <w:tc>
          <w:tcPr>
            <w:tcW w:w="118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无　</w:t>
            </w:r>
          </w:p>
        </w:tc>
        <w:tc>
          <w:tcPr>
            <w:tcW w:w="849"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29"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11"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081"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96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bl>
    <w:p>
      <w:pPr>
        <w:widowControl/>
        <w:spacing w:line="400" w:lineRule="exact"/>
        <w:jc w:val="left"/>
        <w:rPr>
          <w:rFonts w:ascii="Times New Roman" w:hAnsi="Times New Roman" w:eastAsia="仿宋_GB2312"/>
          <w:sz w:val="22"/>
        </w:rPr>
      </w:pPr>
      <w:r>
        <w:rPr>
          <w:rFonts w:ascii="Times New Roman" w:hAnsi="Times New Roman" w:eastAsia="仿宋_GB2312"/>
          <w:sz w:val="22"/>
        </w:rPr>
        <w:t>说明：“项目支出”需要填报基本支出以外的所有项目支出情况，“公用经费”填报基本支出中的一般商品和服务支出。</w:t>
      </w:r>
    </w:p>
    <w:p>
      <w:pPr>
        <w:widowControl/>
        <w:spacing w:line="400" w:lineRule="exact"/>
        <w:jc w:val="left"/>
        <w:rPr>
          <w:rFonts w:ascii="Times New Roman" w:hAnsi="Times New Roman" w:eastAsia="仿宋_GB2312"/>
          <w:sz w:val="22"/>
        </w:rPr>
      </w:pPr>
    </w:p>
    <w:p>
      <w:pPr>
        <w:widowControl/>
        <w:spacing w:line="400" w:lineRule="exact"/>
        <w:jc w:val="left"/>
        <w:rPr>
          <w:rFonts w:ascii="黑体" w:hAnsi="黑体" w:eastAsia="黑体" w:cs="黑体"/>
          <w:sz w:val="32"/>
          <w:szCs w:val="32"/>
        </w:rPr>
      </w:pPr>
      <w:r>
        <w:rPr>
          <w:rFonts w:ascii="Times New Roman" w:hAnsi="Times New Roman" w:eastAsia="仿宋_GB2312"/>
          <w:sz w:val="22"/>
        </w:rPr>
        <w:t>填表人：</w:t>
      </w:r>
      <w:r>
        <w:rPr>
          <w:rFonts w:hint="eastAsia" w:ascii="Times New Roman" w:hAnsi="Times New Roman" w:eastAsia="仿宋_GB2312"/>
          <w:sz w:val="22"/>
          <w:lang w:eastAsia="zh-CN"/>
        </w:rPr>
        <w:t>付敏</w:t>
      </w:r>
      <w:r>
        <w:rPr>
          <w:rFonts w:ascii="Times New Roman" w:hAnsi="Times New Roman" w:eastAsia="仿宋_GB2312"/>
          <w:sz w:val="22"/>
        </w:rPr>
        <w:t xml:space="preserve">  填报日期： </w:t>
      </w:r>
      <w:r>
        <w:rPr>
          <w:rFonts w:hint="eastAsia" w:ascii="Times New Roman" w:hAnsi="Times New Roman" w:eastAsia="仿宋_GB2312"/>
          <w:sz w:val="22"/>
          <w:lang w:val="en-US" w:eastAsia="zh-CN"/>
        </w:rPr>
        <w:t>2023.7.20</w:t>
      </w:r>
      <w:r>
        <w:rPr>
          <w:rFonts w:ascii="Times New Roman" w:hAnsi="Times New Roman" w:eastAsia="仿宋_GB2312"/>
          <w:sz w:val="22"/>
        </w:rPr>
        <w:t xml:space="preserve">  联系电话： </w:t>
      </w:r>
      <w:r>
        <w:rPr>
          <w:rFonts w:hint="eastAsia" w:ascii="Times New Roman" w:hAnsi="Times New Roman" w:eastAsia="仿宋_GB2312"/>
          <w:sz w:val="22"/>
          <w:lang w:val="en-US" w:eastAsia="zh-CN"/>
        </w:rPr>
        <w:t>8889822</w:t>
      </w:r>
      <w:r>
        <w:rPr>
          <w:rFonts w:ascii="Times New Roman" w:hAnsi="Times New Roman" w:eastAsia="仿宋_GB2312"/>
          <w:sz w:val="22"/>
        </w:rPr>
        <w:t xml:space="preserve"> </w:t>
      </w:r>
      <w:r>
        <w:rPr>
          <w:rFonts w:hint="eastAsia" w:ascii="Times New Roman" w:hAnsi="Times New Roman" w:eastAsia="仿宋_GB2312"/>
          <w:sz w:val="22"/>
          <w:lang w:val="en-US" w:eastAsia="zh-CN"/>
        </w:rPr>
        <w:t xml:space="preserve">  </w:t>
      </w:r>
      <w:r>
        <w:rPr>
          <w:rFonts w:ascii="Times New Roman" w:hAnsi="Times New Roman" w:eastAsia="仿宋_GB2312"/>
          <w:sz w:val="22"/>
        </w:rPr>
        <w:t>单位负责人签字：</w:t>
      </w:r>
      <w:r>
        <w:rPr>
          <w:rFonts w:ascii="Times New Roman" w:hAnsi="Times New Roman" w:eastAsia="仿宋_GB2312"/>
          <w:sz w:val="22"/>
        </w:rPr>
        <w:br w:type="page"/>
      </w:r>
      <w:r>
        <w:rPr>
          <w:rFonts w:hint="eastAsia" w:ascii="黑体" w:hAnsi="黑体" w:eastAsia="黑体" w:cs="黑体"/>
          <w:sz w:val="32"/>
          <w:szCs w:val="32"/>
        </w:rPr>
        <w:t>附件2</w:t>
      </w:r>
    </w:p>
    <w:p>
      <w:pPr>
        <w:widowControl/>
        <w:spacing w:after="156" w:afterLines="5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2022年度部门整体支出绩效自评表</w:t>
      </w:r>
    </w:p>
    <w:tbl>
      <w:tblPr>
        <w:tblStyle w:val="3"/>
        <w:tblW w:w="10079" w:type="dxa"/>
        <w:jc w:val="center"/>
        <w:tblLayout w:type="autofit"/>
        <w:tblCellMar>
          <w:top w:w="0" w:type="dxa"/>
          <w:left w:w="108" w:type="dxa"/>
          <w:bottom w:w="0" w:type="dxa"/>
          <w:right w:w="108" w:type="dxa"/>
        </w:tblCellMar>
      </w:tblPr>
      <w:tblGrid>
        <w:gridCol w:w="1080"/>
        <w:gridCol w:w="1080"/>
        <w:gridCol w:w="1034"/>
        <w:gridCol w:w="1270"/>
        <w:gridCol w:w="1311"/>
        <w:gridCol w:w="126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市级预算部门名称</w:t>
            </w:r>
          </w:p>
        </w:tc>
        <w:tc>
          <w:tcPr>
            <w:tcW w:w="8999"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市纪委整体支出</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14" w:type="dxa"/>
            <w:gridSpan w:val="2"/>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p>
        </w:tc>
        <w:tc>
          <w:tcPr>
            <w:tcW w:w="1270"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311"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1269"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716"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46"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c>
          <w:tcPr>
            <w:tcW w:w="2114" w:type="dxa"/>
            <w:gridSpan w:val="2"/>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270"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5488.49</w:t>
            </w:r>
          </w:p>
        </w:tc>
        <w:tc>
          <w:tcPr>
            <w:tcW w:w="1311"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7460.98</w:t>
            </w:r>
          </w:p>
        </w:tc>
        <w:tc>
          <w:tcPr>
            <w:tcW w:w="1269"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7460.98</w:t>
            </w:r>
          </w:p>
        </w:tc>
        <w:tc>
          <w:tcPr>
            <w:tcW w:w="716"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873"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100%</w:t>
            </w:r>
          </w:p>
        </w:tc>
        <w:tc>
          <w:tcPr>
            <w:tcW w:w="1446"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按收入性质分：</w:t>
            </w:r>
          </w:p>
        </w:tc>
        <w:tc>
          <w:tcPr>
            <w:tcW w:w="4304"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其中：  一般公共预算：6636.38</w:t>
            </w:r>
          </w:p>
        </w:tc>
        <w:tc>
          <w:tcPr>
            <w:tcW w:w="4304"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其中：基本支出：3251.44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vAlign w:val="center"/>
          </w:tcPr>
          <w:p>
            <w:pPr>
              <w:widowControl/>
              <w:spacing w:line="240" w:lineRule="exact"/>
              <w:ind w:firstLine="800" w:firstLineChars="4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政府性基金拨款：0</w:t>
            </w:r>
          </w:p>
        </w:tc>
        <w:tc>
          <w:tcPr>
            <w:tcW w:w="4304" w:type="dxa"/>
            <w:gridSpan w:val="4"/>
            <w:tcBorders>
              <w:top w:val="nil"/>
              <w:left w:val="nil"/>
              <w:bottom w:val="single" w:color="auto" w:sz="4" w:space="0"/>
              <w:right w:val="single" w:color="auto" w:sz="4" w:space="0"/>
            </w:tcBorders>
            <w:vAlign w:val="center"/>
          </w:tcPr>
          <w:p>
            <w:pPr>
              <w:widowControl/>
              <w:spacing w:line="24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项目支出：3384.95</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纳入专户管理的非税收入拨款：</w:t>
            </w:r>
          </w:p>
        </w:tc>
        <w:tc>
          <w:tcPr>
            <w:tcW w:w="4304"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vAlign w:val="center"/>
          </w:tcPr>
          <w:p>
            <w:pPr>
              <w:widowControl/>
              <w:spacing w:line="240" w:lineRule="exact"/>
              <w:ind w:firstLine="1400" w:firstLineChars="7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其他资金：573.44</w:t>
            </w:r>
          </w:p>
        </w:tc>
        <w:tc>
          <w:tcPr>
            <w:tcW w:w="4304"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01" w:hRule="atLeast"/>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695"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04"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332"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5"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sz w:val="20"/>
                <w:szCs w:val="20"/>
              </w:rPr>
              <w:t>预算内支出</w:t>
            </w:r>
            <w:r>
              <w:rPr>
                <w:rFonts w:hint="eastAsia" w:ascii="仿宋_GB2312" w:hAnsi="仿宋_GB2312" w:eastAsia="仿宋_GB2312" w:cs="仿宋_GB2312"/>
                <w:color w:val="000000"/>
                <w:sz w:val="20"/>
                <w:szCs w:val="20"/>
              </w:rPr>
              <w:t>　　</w:t>
            </w:r>
          </w:p>
        </w:tc>
        <w:tc>
          <w:tcPr>
            <w:tcW w:w="4304"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311"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269"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46"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949"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ascii="仿宋_GB2312" w:hAnsi="仿宋_GB2312" w:eastAsia="仿宋_GB2312" w:cs="仿宋_GB2312"/>
                <w:color w:val="000000"/>
                <w:sz w:val="20"/>
                <w:szCs w:val="20"/>
              </w:rPr>
            </w:pP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对26个市直单位开展专项监督</w:t>
            </w:r>
          </w:p>
        </w:tc>
        <w:tc>
          <w:tcPr>
            <w:tcW w:w="1311"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26个</w:t>
            </w:r>
          </w:p>
        </w:tc>
        <w:tc>
          <w:tcPr>
            <w:tcW w:w="1269"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26个</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916"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切实加强党的纪律建设</w:t>
            </w:r>
          </w:p>
        </w:tc>
        <w:tc>
          <w:tcPr>
            <w:tcW w:w="1311"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269"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675"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2022年内完成</w:t>
            </w:r>
          </w:p>
        </w:tc>
        <w:tc>
          <w:tcPr>
            <w:tcW w:w="1311"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年/月/日</w:t>
            </w:r>
          </w:p>
        </w:tc>
        <w:tc>
          <w:tcPr>
            <w:tcW w:w="1269"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79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控制在预算内</w:t>
            </w:r>
          </w:p>
        </w:tc>
        <w:tc>
          <w:tcPr>
            <w:tcW w:w="1311"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269"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765"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ascii="仿宋_GB2312" w:hAnsi="仿宋_GB2312" w:eastAsia="仿宋_GB2312" w:cs="仿宋_GB2312"/>
                <w:color w:val="000000"/>
                <w:sz w:val="20"/>
                <w:szCs w:val="20"/>
              </w:rPr>
            </w:pP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由实际情况决定</w:t>
            </w:r>
          </w:p>
        </w:tc>
        <w:tc>
          <w:tcPr>
            <w:tcW w:w="1311"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269"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716"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4</w:t>
            </w:r>
          </w:p>
        </w:tc>
        <w:tc>
          <w:tcPr>
            <w:tcW w:w="1446"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823"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切实加强党的纪律建设</w:t>
            </w:r>
          </w:p>
        </w:tc>
        <w:tc>
          <w:tcPr>
            <w:tcW w:w="1311"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269"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716"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46"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31"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改善自然环境</w:t>
            </w:r>
          </w:p>
        </w:tc>
        <w:tc>
          <w:tcPr>
            <w:tcW w:w="1311"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269"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716"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46"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43"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促进可持续发展</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834"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34" w:type="dxa"/>
            <w:tcBorders>
              <w:top w:val="single" w:color="auto" w:sz="4" w:space="0"/>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人民群众满意度有所提升</w:t>
            </w:r>
          </w:p>
        </w:tc>
        <w:tc>
          <w:tcPr>
            <w:tcW w:w="1311"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269"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446"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98" w:hRule="atLeast"/>
          <w:jc w:val="center"/>
        </w:trPr>
        <w:tc>
          <w:tcPr>
            <w:tcW w:w="7044" w:type="dxa"/>
            <w:gridSpan w:val="6"/>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97</w:t>
            </w:r>
          </w:p>
        </w:tc>
        <w:tc>
          <w:tcPr>
            <w:tcW w:w="1446"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widowControl/>
        <w:spacing w:line="600" w:lineRule="exact"/>
        <w:jc w:val="left"/>
        <w:rPr>
          <w:rFonts w:ascii="Times New Roman" w:hAnsi="Times New Roman" w:eastAsia="黑体"/>
          <w:sz w:val="32"/>
          <w:szCs w:val="32"/>
        </w:rPr>
      </w:pPr>
      <w:r>
        <w:rPr>
          <w:rFonts w:ascii="Times New Roman" w:hAnsi="Times New Roman" w:eastAsia="仿宋_GB2312"/>
          <w:sz w:val="22"/>
        </w:rPr>
        <w:t>填表人：</w:t>
      </w:r>
      <w:r>
        <w:rPr>
          <w:rFonts w:hint="eastAsia" w:ascii="Times New Roman" w:hAnsi="Times New Roman" w:eastAsia="仿宋_GB2312"/>
          <w:sz w:val="22"/>
          <w:lang w:eastAsia="zh-CN"/>
        </w:rPr>
        <w:t>付敏</w:t>
      </w:r>
      <w:r>
        <w:rPr>
          <w:rFonts w:ascii="Times New Roman" w:hAnsi="Times New Roman" w:eastAsia="仿宋_GB2312"/>
          <w:sz w:val="22"/>
        </w:rPr>
        <w:t xml:space="preserve">  填报日期： </w:t>
      </w:r>
      <w:r>
        <w:rPr>
          <w:rFonts w:hint="eastAsia" w:ascii="Times New Roman" w:hAnsi="Times New Roman" w:eastAsia="仿宋_GB2312"/>
          <w:sz w:val="22"/>
          <w:lang w:val="en-US" w:eastAsia="zh-CN"/>
        </w:rPr>
        <w:t>2023.7.20</w:t>
      </w:r>
      <w:r>
        <w:rPr>
          <w:rFonts w:ascii="Times New Roman" w:hAnsi="Times New Roman" w:eastAsia="仿宋_GB2312"/>
          <w:sz w:val="22"/>
        </w:rPr>
        <w:t xml:space="preserve">  联系电话： </w:t>
      </w:r>
      <w:r>
        <w:rPr>
          <w:rFonts w:hint="eastAsia" w:ascii="Times New Roman" w:hAnsi="Times New Roman" w:eastAsia="仿宋_GB2312"/>
          <w:sz w:val="22"/>
          <w:lang w:val="en-US" w:eastAsia="zh-CN"/>
        </w:rPr>
        <w:t>8889822</w:t>
      </w:r>
      <w:r>
        <w:rPr>
          <w:rFonts w:ascii="Times New Roman" w:hAnsi="Times New Roman" w:eastAsia="仿宋_GB2312"/>
          <w:sz w:val="22"/>
        </w:rPr>
        <w:t xml:space="preserve"> </w:t>
      </w:r>
      <w:r>
        <w:rPr>
          <w:rFonts w:hint="eastAsia" w:ascii="Times New Roman" w:hAnsi="Times New Roman" w:eastAsia="仿宋_GB2312"/>
          <w:sz w:val="22"/>
          <w:lang w:val="en-US" w:eastAsia="zh-CN"/>
        </w:rPr>
        <w:t xml:space="preserve">  </w:t>
      </w:r>
      <w:r>
        <w:rPr>
          <w:rFonts w:ascii="Times New Roman" w:hAnsi="Times New Roman" w:eastAsia="仿宋_GB2312"/>
          <w:sz w:val="22"/>
        </w:rPr>
        <w:t>单位负责人签字：</w:t>
      </w:r>
      <w:r>
        <w:rPr>
          <w:rFonts w:ascii="Times New Roman" w:hAnsi="Times New Roman" w:eastAsia="仿宋_GB2312"/>
          <w:sz w:val="22"/>
        </w:rPr>
        <w:br w:type="page"/>
      </w:r>
      <w:r>
        <w:rPr>
          <w:rFonts w:hint="eastAsia" w:ascii="黑体" w:hAnsi="黑体" w:eastAsia="黑体" w:cs="黑体"/>
          <w:sz w:val="32"/>
          <w:szCs w:val="32"/>
        </w:rPr>
        <w:t>附件3</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岳阳市纪委监委办案经费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市纪委监委</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1081.7</w:t>
            </w:r>
          </w:p>
        </w:tc>
        <w:tc>
          <w:tcPr>
            <w:tcW w:w="1134"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1081.7</w:t>
            </w:r>
          </w:p>
        </w:tc>
        <w:tc>
          <w:tcPr>
            <w:tcW w:w="1134"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1081.7</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1081.7</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1081.7</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1081.7</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52" w:hRule="atLeast"/>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307"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sz w:val="20"/>
                <w:szCs w:val="20"/>
              </w:rPr>
              <w:t>预算内支出</w:t>
            </w:r>
            <w:r>
              <w:rPr>
                <w:rFonts w:hint="eastAsia" w:ascii="仿宋_GB2312" w:hAnsi="仿宋_GB2312" w:eastAsia="仿宋_GB2312" w:cs="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134"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104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ascii="仿宋_GB2312" w:hAnsi="仿宋_GB2312" w:eastAsia="仿宋_GB2312" w:cs="仿宋_GB2312"/>
                <w:color w:val="000000"/>
                <w:sz w:val="20"/>
                <w:szCs w:val="20"/>
              </w:rPr>
            </w:pP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对26个市直单位开展专项监督</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26个</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26个</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928"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切实加强党的纪律建设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778"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2022年内完成</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年/月/日</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79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控制在预算内</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674"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ascii="仿宋_GB2312" w:hAnsi="仿宋_GB2312" w:eastAsia="仿宋_GB2312" w:cs="仿宋_GB2312"/>
                <w:color w:val="000000"/>
                <w:sz w:val="20"/>
                <w:szCs w:val="20"/>
              </w:rPr>
            </w:pP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由实际情况决定</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2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切实加强党的纪律建设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74"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改善自然环境</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75"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促进可持续发展</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46"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人民群众满意度有所提升</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04" w:hRule="atLeast"/>
          <w:jc w:val="center"/>
        </w:trPr>
        <w:tc>
          <w:tcPr>
            <w:tcW w:w="6732"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98</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ascii="Times New Roman" w:hAnsi="Times New Roman" w:eastAsia="仿宋_GB2312"/>
          <w:sz w:val="18"/>
          <w:szCs w:val="18"/>
        </w:rPr>
      </w:pPr>
    </w:p>
    <w:p>
      <w:pPr>
        <w:widowControl/>
        <w:spacing w:line="600" w:lineRule="exact"/>
        <w:jc w:val="left"/>
        <w:rPr>
          <w:rFonts w:hint="default" w:ascii="Times New Roman" w:hAnsi="Times New Roman" w:eastAsia="黑体"/>
          <w:sz w:val="32"/>
          <w:szCs w:val="32"/>
          <w:lang w:val="en-US" w:eastAsia="zh-CN"/>
        </w:rPr>
      </w:pPr>
      <w:r>
        <w:rPr>
          <w:rFonts w:ascii="Times New Roman" w:hAnsi="Times New Roman" w:eastAsia="仿宋_GB2312"/>
          <w:sz w:val="22"/>
        </w:rPr>
        <w:t>填表人：</w:t>
      </w:r>
      <w:r>
        <w:rPr>
          <w:rFonts w:hint="eastAsia" w:ascii="Times New Roman" w:hAnsi="Times New Roman" w:eastAsia="仿宋_GB2312"/>
          <w:sz w:val="22"/>
          <w:lang w:eastAsia="zh-CN"/>
        </w:rPr>
        <w:t>付敏</w:t>
      </w:r>
      <w:r>
        <w:rPr>
          <w:rFonts w:ascii="Times New Roman" w:hAnsi="Times New Roman" w:eastAsia="仿宋_GB2312"/>
          <w:sz w:val="22"/>
        </w:rPr>
        <w:t xml:space="preserve">  填报日期： </w:t>
      </w:r>
      <w:r>
        <w:rPr>
          <w:rFonts w:hint="eastAsia" w:ascii="Times New Roman" w:hAnsi="Times New Roman" w:eastAsia="仿宋_GB2312"/>
          <w:sz w:val="22"/>
          <w:lang w:val="en-US" w:eastAsia="zh-CN"/>
        </w:rPr>
        <w:t>2023.7.20</w:t>
      </w:r>
      <w:r>
        <w:rPr>
          <w:rFonts w:ascii="Times New Roman" w:hAnsi="Times New Roman" w:eastAsia="仿宋_GB2312"/>
          <w:sz w:val="22"/>
        </w:rPr>
        <w:t xml:space="preserve">  联系电话： </w:t>
      </w:r>
      <w:r>
        <w:rPr>
          <w:rFonts w:hint="eastAsia" w:ascii="Times New Roman" w:hAnsi="Times New Roman" w:eastAsia="仿宋_GB2312"/>
          <w:sz w:val="22"/>
          <w:lang w:val="en-US" w:eastAsia="zh-CN"/>
        </w:rPr>
        <w:t>8889822</w:t>
      </w:r>
      <w:r>
        <w:rPr>
          <w:rFonts w:ascii="Times New Roman" w:hAnsi="Times New Roman" w:eastAsia="仿宋_GB2312"/>
          <w:sz w:val="22"/>
        </w:rPr>
        <w:t xml:space="preserve"> </w:t>
      </w:r>
      <w:r>
        <w:rPr>
          <w:rFonts w:hint="eastAsia" w:ascii="Times New Roman" w:hAnsi="Times New Roman" w:eastAsia="仿宋_GB2312"/>
          <w:sz w:val="22"/>
          <w:lang w:val="en-US" w:eastAsia="zh-CN"/>
        </w:rPr>
        <w:t xml:space="preserve">  </w:t>
      </w:r>
      <w:r>
        <w:rPr>
          <w:rFonts w:ascii="Times New Roman" w:hAnsi="Times New Roman" w:eastAsia="仿宋_GB2312"/>
          <w:sz w:val="22"/>
        </w:rPr>
        <w:t>单位负责人签字：</w:t>
      </w:r>
      <w:r>
        <w:rPr>
          <w:rFonts w:ascii="Times New Roman" w:hAnsi="Times New Roman" w:eastAsia="仿宋_GB2312"/>
          <w:sz w:val="22"/>
        </w:rPr>
        <w:br w:type="page"/>
      </w:r>
      <w:r>
        <w:rPr>
          <w:rFonts w:hint="eastAsia" w:ascii="黑体" w:hAnsi="黑体" w:eastAsia="黑体" w:cs="黑体"/>
          <w:sz w:val="32"/>
          <w:szCs w:val="32"/>
        </w:rPr>
        <w:t>附件3</w:t>
      </w:r>
      <w:r>
        <w:rPr>
          <w:rFonts w:hint="eastAsia" w:ascii="黑体" w:hAnsi="黑体" w:eastAsia="黑体" w:cs="黑体"/>
          <w:sz w:val="32"/>
          <w:szCs w:val="32"/>
          <w:lang w:val="en-US" w:eastAsia="zh-CN"/>
        </w:rPr>
        <w:t>-1</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岳阳市纪委监委派驻机构工作经费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市纪委监委</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93.6</w:t>
            </w:r>
          </w:p>
        </w:tc>
        <w:tc>
          <w:tcPr>
            <w:tcW w:w="1134"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93.6</w:t>
            </w:r>
          </w:p>
        </w:tc>
        <w:tc>
          <w:tcPr>
            <w:tcW w:w="1134"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93.6</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93.6</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93.6</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93.6</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52" w:hRule="atLeast"/>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307"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sz w:val="20"/>
                <w:szCs w:val="20"/>
              </w:rPr>
              <w:t>预算内支出</w:t>
            </w:r>
            <w:r>
              <w:rPr>
                <w:rFonts w:hint="eastAsia" w:ascii="仿宋_GB2312" w:hAnsi="仿宋_GB2312" w:eastAsia="仿宋_GB2312" w:cs="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134"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1157"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ascii="仿宋_GB2312" w:hAnsi="仿宋_GB2312" w:eastAsia="仿宋_GB2312" w:cs="仿宋_GB2312"/>
                <w:color w:val="000000"/>
                <w:sz w:val="20"/>
                <w:szCs w:val="20"/>
              </w:rPr>
            </w:pP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对26个市直单位开展专项监督</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26个</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26个</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928"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切实加强党的纪律建设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778"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2022年内完成</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年/月/日</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79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控制在预算内</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674"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ascii="仿宋_GB2312" w:hAnsi="仿宋_GB2312" w:eastAsia="仿宋_GB2312" w:cs="仿宋_GB2312"/>
                <w:color w:val="000000"/>
                <w:sz w:val="20"/>
                <w:szCs w:val="20"/>
              </w:rPr>
            </w:pP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由实际情况决定</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4</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2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切实加强党的纪律建设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74"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改善自然环境</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75"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促进可持续发展</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46"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人民群众满意度有所提升</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04" w:hRule="atLeast"/>
          <w:jc w:val="center"/>
        </w:trPr>
        <w:tc>
          <w:tcPr>
            <w:tcW w:w="6732"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98</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ascii="Times New Roman" w:hAnsi="Times New Roman" w:eastAsia="仿宋_GB2312"/>
          <w:sz w:val="18"/>
          <w:szCs w:val="18"/>
        </w:rPr>
      </w:pPr>
    </w:p>
    <w:p>
      <w:pPr>
        <w:widowControl/>
        <w:spacing w:line="600" w:lineRule="exact"/>
        <w:jc w:val="left"/>
        <w:rPr>
          <w:rFonts w:hint="default" w:ascii="Times New Roman" w:hAnsi="Times New Roman" w:eastAsia="黑体"/>
          <w:sz w:val="32"/>
          <w:szCs w:val="32"/>
          <w:lang w:val="en-US" w:eastAsia="zh-CN"/>
        </w:rPr>
      </w:pPr>
      <w:r>
        <w:rPr>
          <w:rFonts w:ascii="Times New Roman" w:hAnsi="Times New Roman" w:eastAsia="仿宋_GB2312"/>
          <w:sz w:val="22"/>
        </w:rPr>
        <w:t>填表人：</w:t>
      </w:r>
      <w:r>
        <w:rPr>
          <w:rFonts w:hint="eastAsia" w:ascii="Times New Roman" w:hAnsi="Times New Roman" w:eastAsia="仿宋_GB2312"/>
          <w:sz w:val="22"/>
          <w:lang w:eastAsia="zh-CN"/>
        </w:rPr>
        <w:t>付敏</w:t>
      </w:r>
      <w:r>
        <w:rPr>
          <w:rFonts w:ascii="Times New Roman" w:hAnsi="Times New Roman" w:eastAsia="仿宋_GB2312"/>
          <w:sz w:val="22"/>
        </w:rPr>
        <w:t xml:space="preserve">  填报日期： </w:t>
      </w:r>
      <w:r>
        <w:rPr>
          <w:rFonts w:hint="eastAsia" w:ascii="Times New Roman" w:hAnsi="Times New Roman" w:eastAsia="仿宋_GB2312"/>
          <w:sz w:val="22"/>
          <w:lang w:val="en-US" w:eastAsia="zh-CN"/>
        </w:rPr>
        <w:t>2023.7.20</w:t>
      </w:r>
      <w:r>
        <w:rPr>
          <w:rFonts w:ascii="Times New Roman" w:hAnsi="Times New Roman" w:eastAsia="仿宋_GB2312"/>
          <w:sz w:val="22"/>
        </w:rPr>
        <w:t xml:space="preserve">  联系电话： </w:t>
      </w:r>
      <w:r>
        <w:rPr>
          <w:rFonts w:hint="eastAsia" w:ascii="Times New Roman" w:hAnsi="Times New Roman" w:eastAsia="仿宋_GB2312"/>
          <w:sz w:val="22"/>
          <w:lang w:val="en-US" w:eastAsia="zh-CN"/>
        </w:rPr>
        <w:t>8889822</w:t>
      </w:r>
      <w:r>
        <w:rPr>
          <w:rFonts w:ascii="Times New Roman" w:hAnsi="Times New Roman" w:eastAsia="仿宋_GB2312"/>
          <w:sz w:val="22"/>
        </w:rPr>
        <w:t xml:space="preserve"> </w:t>
      </w:r>
      <w:r>
        <w:rPr>
          <w:rFonts w:hint="eastAsia" w:ascii="Times New Roman" w:hAnsi="Times New Roman" w:eastAsia="仿宋_GB2312"/>
          <w:sz w:val="22"/>
          <w:lang w:val="en-US" w:eastAsia="zh-CN"/>
        </w:rPr>
        <w:t xml:space="preserve">  </w:t>
      </w:r>
      <w:r>
        <w:rPr>
          <w:rFonts w:ascii="Times New Roman" w:hAnsi="Times New Roman" w:eastAsia="仿宋_GB2312"/>
          <w:sz w:val="22"/>
        </w:rPr>
        <w:t>单位负责人签字：</w:t>
      </w:r>
      <w:r>
        <w:rPr>
          <w:rFonts w:ascii="Times New Roman" w:hAnsi="Times New Roman" w:eastAsia="仿宋_GB2312"/>
          <w:sz w:val="22"/>
        </w:rPr>
        <w:br w:type="page"/>
      </w:r>
      <w:r>
        <w:rPr>
          <w:rFonts w:hint="eastAsia" w:ascii="黑体" w:hAnsi="黑体" w:eastAsia="黑体" w:cs="黑体"/>
          <w:sz w:val="32"/>
          <w:szCs w:val="32"/>
        </w:rPr>
        <w:t>附件3</w:t>
      </w:r>
      <w:r>
        <w:rPr>
          <w:rFonts w:hint="eastAsia" w:ascii="黑体" w:hAnsi="黑体" w:eastAsia="黑体" w:cs="黑体"/>
          <w:sz w:val="32"/>
          <w:szCs w:val="32"/>
          <w:lang w:val="en-US" w:eastAsia="zh-CN"/>
        </w:rPr>
        <w:t>-2</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岳阳市委巡察办巡视和巡察工作经费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市纪委监委</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238.4</w:t>
            </w:r>
          </w:p>
        </w:tc>
        <w:tc>
          <w:tcPr>
            <w:tcW w:w="1134"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238.4</w:t>
            </w:r>
          </w:p>
        </w:tc>
        <w:tc>
          <w:tcPr>
            <w:tcW w:w="1134"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238.4</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238.4</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238.4</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238.4</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52" w:hRule="atLeast"/>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307"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sz w:val="20"/>
                <w:szCs w:val="20"/>
              </w:rPr>
              <w:t>预算内支出</w:t>
            </w:r>
            <w:r>
              <w:rPr>
                <w:rFonts w:hint="eastAsia" w:ascii="仿宋_GB2312" w:hAnsi="仿宋_GB2312" w:eastAsia="仿宋_GB2312" w:cs="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134"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1157"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ascii="仿宋_GB2312" w:hAnsi="仿宋_GB2312" w:eastAsia="仿宋_GB2312" w:cs="仿宋_GB2312"/>
                <w:color w:val="000000"/>
                <w:sz w:val="20"/>
                <w:szCs w:val="20"/>
              </w:rPr>
            </w:pP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对26个市直单位开展专项监督</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26个</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26个</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928"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切实加强党的纪律建设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778"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2022年内完成</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年/月/日</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79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控制在预算内</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674"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ascii="仿宋_GB2312" w:hAnsi="仿宋_GB2312" w:eastAsia="仿宋_GB2312" w:cs="仿宋_GB2312"/>
                <w:color w:val="000000"/>
                <w:sz w:val="20"/>
                <w:szCs w:val="20"/>
              </w:rPr>
            </w:pP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由实际情况决定</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2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切实加强党的纪律建设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74"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改善自然环境</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75"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促进可持续发展</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46"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人民群众满意度有所提升</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04" w:hRule="atLeast"/>
          <w:jc w:val="center"/>
        </w:trPr>
        <w:tc>
          <w:tcPr>
            <w:tcW w:w="6732"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99</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ascii="Times New Roman" w:hAnsi="Times New Roman" w:eastAsia="仿宋_GB2312"/>
          <w:sz w:val="18"/>
          <w:szCs w:val="18"/>
        </w:rPr>
      </w:pPr>
    </w:p>
    <w:p>
      <w:pPr>
        <w:rPr>
          <w:rFonts w:ascii="Times New Roman" w:hAnsi="Times New Roman" w:eastAsia="方正小标宋_GBK"/>
          <w:sz w:val="52"/>
          <w:szCs w:val="52"/>
        </w:rPr>
      </w:pPr>
      <w:r>
        <w:rPr>
          <w:rFonts w:ascii="Times New Roman" w:hAnsi="Times New Roman" w:eastAsia="仿宋_GB2312"/>
          <w:sz w:val="22"/>
        </w:rPr>
        <w:t>填表人：</w:t>
      </w:r>
      <w:r>
        <w:rPr>
          <w:rFonts w:hint="eastAsia" w:ascii="Times New Roman" w:hAnsi="Times New Roman" w:eastAsia="仿宋_GB2312"/>
          <w:sz w:val="22"/>
          <w:lang w:eastAsia="zh-CN"/>
        </w:rPr>
        <w:t>付敏</w:t>
      </w:r>
      <w:r>
        <w:rPr>
          <w:rFonts w:ascii="Times New Roman" w:hAnsi="Times New Roman" w:eastAsia="仿宋_GB2312"/>
          <w:sz w:val="22"/>
        </w:rPr>
        <w:t xml:space="preserve">  填报日期： </w:t>
      </w:r>
      <w:r>
        <w:rPr>
          <w:rFonts w:hint="eastAsia" w:ascii="Times New Roman" w:hAnsi="Times New Roman" w:eastAsia="仿宋_GB2312"/>
          <w:sz w:val="22"/>
          <w:lang w:val="en-US" w:eastAsia="zh-CN"/>
        </w:rPr>
        <w:t>2023.7.20</w:t>
      </w:r>
      <w:r>
        <w:rPr>
          <w:rFonts w:ascii="Times New Roman" w:hAnsi="Times New Roman" w:eastAsia="仿宋_GB2312"/>
          <w:sz w:val="22"/>
        </w:rPr>
        <w:t xml:space="preserve">  联系电话： </w:t>
      </w:r>
      <w:r>
        <w:rPr>
          <w:rFonts w:hint="eastAsia" w:ascii="Times New Roman" w:hAnsi="Times New Roman" w:eastAsia="仿宋_GB2312"/>
          <w:sz w:val="22"/>
          <w:lang w:val="en-US" w:eastAsia="zh-CN"/>
        </w:rPr>
        <w:t>8889822</w:t>
      </w:r>
      <w:r>
        <w:rPr>
          <w:rFonts w:ascii="Times New Roman" w:hAnsi="Times New Roman" w:eastAsia="仿宋_GB2312"/>
          <w:sz w:val="22"/>
        </w:rPr>
        <w:t xml:space="preserve"> </w:t>
      </w:r>
      <w:r>
        <w:rPr>
          <w:rFonts w:hint="eastAsia" w:ascii="Times New Roman" w:hAnsi="Times New Roman" w:eastAsia="仿宋_GB2312"/>
          <w:sz w:val="22"/>
          <w:lang w:val="en-US" w:eastAsia="zh-CN"/>
        </w:rPr>
        <w:t xml:space="preserve">  </w:t>
      </w:r>
      <w:r>
        <w:rPr>
          <w:rFonts w:ascii="Times New Roman" w:hAnsi="Times New Roman" w:eastAsia="仿宋_GB2312"/>
          <w:sz w:val="22"/>
        </w:rPr>
        <w:t>单位负责人签字：</w:t>
      </w:r>
      <w:r>
        <w:rPr>
          <w:rFonts w:ascii="Times New Roman" w:hAnsi="Times New Roman" w:eastAsia="仿宋_GB2312"/>
          <w:sz w:val="22"/>
        </w:rPr>
        <w:br w:type="page"/>
      </w:r>
    </w:p>
    <w:p>
      <w:pPr>
        <w:pStyle w:val="2"/>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2022年度市纪委监委单位整体支出</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ascii="Times New Roman" w:hAnsi="Times New Roman" w:eastAsia="方正小标宋_GBK"/>
          <w:b/>
          <w:sz w:val="52"/>
          <w:szCs w:val="5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spacing w:line="600" w:lineRule="exact"/>
        <w:jc w:val="center"/>
        <w:rPr>
          <w:rFonts w:ascii="Times New Roman" w:hAnsi="Times New Roman" w:eastAsia="仿宋_GB2312"/>
          <w:sz w:val="32"/>
          <w:szCs w:val="32"/>
          <w:u w:val="single"/>
        </w:rPr>
      </w:pPr>
      <w:r>
        <w:rPr>
          <w:rFonts w:ascii="Times New Roman" w:hAnsi="Times New Roman" w:eastAsia="仿宋_GB2312"/>
          <w:sz w:val="32"/>
          <w:szCs w:val="32"/>
        </w:rPr>
        <w:t>部门（单位）名称：</w:t>
      </w:r>
      <w:r>
        <w:rPr>
          <w:rFonts w:ascii="Times New Roman" w:hAnsi="Times New Roman" w:eastAsia="仿宋_GB2312"/>
          <w:sz w:val="32"/>
          <w:szCs w:val="32"/>
          <w:u w:val="single"/>
        </w:rPr>
        <w:t>（盖章）</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2023</w:t>
      </w:r>
      <w:r>
        <w:rPr>
          <w:rFonts w:ascii="Times New Roman" w:hAnsi="Times New Roman" w:eastAsia="楷体_GB2312"/>
          <w:sz w:val="32"/>
          <w:szCs w:val="32"/>
        </w:rPr>
        <w:t>年</w:t>
      </w:r>
      <w:r>
        <w:rPr>
          <w:rFonts w:hint="eastAsia" w:ascii="Times New Roman" w:hAnsi="Times New Roman" w:eastAsia="楷体_GB2312"/>
          <w:sz w:val="32"/>
          <w:szCs w:val="32"/>
        </w:rPr>
        <w:t>7</w:t>
      </w:r>
      <w:r>
        <w:rPr>
          <w:rFonts w:ascii="Times New Roman" w:hAnsi="Times New Roman" w:eastAsia="楷体_GB2312"/>
          <w:sz w:val="32"/>
          <w:szCs w:val="32"/>
        </w:rPr>
        <w:t>月</w:t>
      </w:r>
      <w:r>
        <w:rPr>
          <w:rFonts w:hint="eastAsia" w:ascii="Times New Roman" w:hAnsi="Times New Roman" w:eastAsia="楷体_GB2312"/>
          <w:sz w:val="32"/>
          <w:szCs w:val="32"/>
        </w:rPr>
        <w:t>14</w:t>
      </w:r>
      <w:r>
        <w:rPr>
          <w:rFonts w:ascii="Times New Roman" w:hAnsi="Times New Roman" w:eastAsia="楷体_GB2312"/>
          <w:sz w:val="32"/>
          <w:szCs w:val="32"/>
        </w:rPr>
        <w:t>日</w:t>
      </w:r>
    </w:p>
    <w:p>
      <w:pPr>
        <w:jc w:val="center"/>
        <w:rPr>
          <w:rFonts w:ascii="Times New Roman" w:hAnsi="Times New Roman" w:eastAsia="仿宋_GB2312"/>
          <w:sz w:val="32"/>
          <w:szCs w:val="32"/>
        </w:rPr>
      </w:pPr>
      <w:r>
        <w:rPr>
          <w:rFonts w:ascii="Times New Roman" w:hAnsi="Times New Roman" w:eastAsia="仿宋_GB2312"/>
          <w:sz w:val="32"/>
          <w:szCs w:val="32"/>
        </w:rPr>
        <w:t>（此页为封面）</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ascii="Times New Roman" w:hAnsi="Times New Roman" w:eastAsia="仿宋_GB2312"/>
          <w:sz w:val="32"/>
          <w:szCs w:val="32"/>
        </w:rPr>
        <w:br w:type="page"/>
      </w:r>
      <w:r>
        <w:rPr>
          <w:rFonts w:hint="eastAsia" w:ascii="方正小标宋简体" w:hAnsi="方正小标宋简体" w:eastAsia="方正小标宋简体" w:cs="方正小标宋简体"/>
          <w:sz w:val="44"/>
          <w:szCs w:val="44"/>
        </w:rPr>
        <w:t>2022年度市纪委监委单位整体支出</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pStyle w:val="2"/>
        <w:keepNext w:val="0"/>
        <w:keepLines w:val="0"/>
        <w:pageBreakBefore w:val="0"/>
        <w:kinsoku/>
        <w:wordWrap/>
        <w:overflowPunct/>
        <w:topLinePunct w:val="0"/>
        <w:autoSpaceDE/>
        <w:autoSpaceDN/>
        <w:bidi w:val="0"/>
        <w:adjustRightInd/>
        <w:snapToGrid/>
        <w:spacing w:before="0" w:after="0" w:line="600" w:lineRule="exact"/>
        <w:textAlignment w:val="auto"/>
      </w:pP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部门（单位）基本情况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（一）职能职责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根据《中共岳阳市纪律检查委员会、岳阳市监察委员会机关职能配置、内设机构和人员编制规定》，市纪委与市监委合署办公，实行一套工作机构、两个机关名称，履行党的纪律检查和国家监察两项职责。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（二）机构设置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市纪委市监委设置19个副处级内设机构和2个正科级内设机构。19个副处级机构：综合部门4个，即办公室、组织部、宣传部、调研法规室；监督执纪部门15个，即党风政风监督室、信访室、案件监督管理室、第一至第十纪检监察室、案件审理室、纪检监察干部监督室。2个正科级内设机构：信息技术保障室、财务科。机关党委机关纪委按照章程设置，机关工会、离退休人员管理服务科按相关规定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市委巡察办是中共岳阳市委巡察工作领导小组的日常办事机构，作为市委工作机关，为正处级，设在中共岳阳市纪律检查委员会。主要负责：传达贯彻中央、省委、市委、市委巡察工作领导小组的决策和部署；承担巡察工作有关的政策研究、制度建设等工作；统筹协调指导市委巡察组开展工作；协调指导县市区党委开展巡察等工作。设置3个正科级内设机构：综合联络科、巡察科、督办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市纪委市监委机关下设案件管理中心，为正科级公益一类事业单位。负责为监督执纪问责和监督调查处置提供必要的场所和安全管理、后勤保障服务等。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市纪委市监委机关下设市纪委市监委事务中心，为正科级公益一类事业单位。负责为市纪委市监委网站的管理维护与日常运行，权威发布重大案例及重要信息及承接市纪委监委其他政事分开的辅助性、服务性等事务性工作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市纪委市监委设置26个派驻纪检监察组：驻市委办公室纪检监察组、驻市委组织部纪检监察组、驻市委宣传部纪检监察组、驻市委政法委员会纪检监察组、驻市委统一战线工作部纪检监察组、驻市人大机关纪检监察组、驻市人民政府办公室纪检监察组、驻市政协机关纪检监察组、驻市发展和改革委员会纪检监察组、驻市农业农村局纪检监察组、驻市工业和信息化局纪检监察组、驻市交通运输局纪检监察组、驻市住房和城乡建设局纪检监察组、驻市城市管理和综合执法局纪检监察组、驻市民政局纪检监察组、驻市卫生健康委员会纪检监察组、驻市财政局纪检监察组、驻市市场监督管理局纪检监察组、驻市自然资源和规划局纪检监察组、驻市水利局纪检监察组、驻市人民政府国有资产监督管理委员会纪检监察组、驻市人力资源和社会保障局纪检监察组、驻市教育体育局纪检监察组、驻市公安局纪检监察组、驻市人民检察院纪检监察组、驻市中级人民法院纪检监察组。派驻纪检监察组均设置内设机构综合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市纪委市监委派驻纪检监察组履行纪检、监察两项职能。派驻机构对派驻它的机关负责，接受其直接领导。派驻机构按照干部管理权限和派驻它的机关的授权履行监督、执纪、问责和监督、调查、处置职责。驻在部门具有行业管理职能的，派驻机构可以根据授权对驻在单位管理的行业、系统实施党内监督和国家监察。</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黑体"/>
          <w:sz w:val="32"/>
          <w:szCs w:val="32"/>
        </w:rPr>
      </w:pPr>
      <w:r>
        <w:rPr>
          <w:rFonts w:ascii="Times New Roman" w:hAnsi="Times New Roman" w:eastAsia="黑体"/>
          <w:sz w:val="32"/>
          <w:szCs w:val="32"/>
        </w:rPr>
        <w:t>二、一般公共预算支出情况</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楷体_GB2312"/>
          <w:b/>
          <w:sz w:val="32"/>
          <w:szCs w:val="32"/>
        </w:rPr>
      </w:pPr>
      <w:r>
        <w:rPr>
          <w:rFonts w:ascii="Times New Roman" w:hAnsi="Times New Roman" w:eastAsia="楷体_GB2312"/>
          <w:b/>
          <w:sz w:val="32"/>
          <w:szCs w:val="32"/>
        </w:rPr>
        <w:t>（一）基本支出情况</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2022年基本支出年初预算数为3193.51万元，是指为保障市纪委监委正常运转、完成日常工作任务而发生的各项支出，包括用于基本工资、津贴补贴等人员经费以及办公费、印刷费、水电费、差旅费等日常公用经费。</w:t>
      </w:r>
    </w:p>
    <w:p>
      <w:pPr>
        <w:pStyle w:val="5"/>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textAlignment w:val="auto"/>
        <w:rPr>
          <w:rFonts w:ascii="Times New Roman" w:hAnsi="Times New Roman" w:eastAsia="楷体_GB2312"/>
          <w:b/>
          <w:sz w:val="32"/>
          <w:szCs w:val="32"/>
        </w:rPr>
      </w:pPr>
      <w:r>
        <w:rPr>
          <w:rFonts w:ascii="Times New Roman" w:hAnsi="Times New Roman" w:eastAsia="楷体_GB2312"/>
          <w:b/>
          <w:sz w:val="32"/>
          <w:szCs w:val="32"/>
        </w:rPr>
        <w:t>项目支出情况</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2022年项目支出年初预算数为2294.98万元，是指市纪委监委为完成特定工作任务目标而发生的支出，其中：工会补助经费86.40万元，主要用于工会活动福利支出；伙食补助115.20万元，主要用于干部伙食支出；物业服务补贴103.68万元，主要用于发放在职、离退休干部的物业补贴；综合绩效奖和平安岳阳建设奖576万元，主要用于发放相关绩效奖；岳阳市纪委监委办案经费1081.70万元，主要用于办案产生的相关费用；岳阳市纪委监委派驻机构工作经费93.60万元，主要用于26个派驻纪检组日常支出和办案费用；岳阳市委巡察办巡视和巡察工作经费238.40万元，主要用于市委巡察办的日常开支及开展巡察工作的相关费用</w:t>
      </w:r>
      <w:r>
        <w:rPr>
          <w:rFonts w:hint="eastAsia" w:ascii="Times New Roman" w:hAnsi="Times New Roman" w:eastAsia="仿宋_GB2312" w:cs="仿宋_GB2312"/>
          <w:sz w:val="32"/>
          <w:szCs w:val="32"/>
        </w:rPr>
        <w:t>。</w:t>
      </w:r>
    </w:p>
    <w:p>
      <w:pPr>
        <w:pStyle w:val="5"/>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textAlignment w:val="auto"/>
        <w:rPr>
          <w:rFonts w:ascii="Times New Roman" w:hAnsi="Times New Roman" w:eastAsia="黑体"/>
          <w:sz w:val="32"/>
          <w:szCs w:val="32"/>
        </w:rPr>
      </w:pPr>
      <w:r>
        <w:rPr>
          <w:rFonts w:ascii="Times New Roman" w:hAnsi="Times New Roman" w:eastAsia="黑体"/>
          <w:sz w:val="32"/>
          <w:szCs w:val="32"/>
        </w:rPr>
        <w:t>政府性基金预算支出情况</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无。</w:t>
      </w:r>
    </w:p>
    <w:p>
      <w:pPr>
        <w:pStyle w:val="5"/>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textAlignment w:val="auto"/>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黑体"/>
          <w:sz w:val="32"/>
          <w:szCs w:val="32"/>
        </w:rPr>
      </w:pPr>
      <w:r>
        <w:rPr>
          <w:rFonts w:hint="eastAsia" w:ascii="Times New Roman" w:hAnsi="Times New Roman" w:eastAsia="仿宋_GB2312" w:cs="仿宋_GB2312"/>
          <w:sz w:val="32"/>
          <w:szCs w:val="32"/>
        </w:rPr>
        <w:t>无。</w:t>
      </w:r>
    </w:p>
    <w:p>
      <w:pPr>
        <w:pStyle w:val="5"/>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textAlignment w:val="auto"/>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六、部门整体支出绩效情况</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2022年，我</w:t>
      </w:r>
      <w:r>
        <w:rPr>
          <w:rFonts w:hint="eastAsia" w:ascii="Times New Roman" w:hAnsi="Times New Roman" w:eastAsia="仿宋_GB2312"/>
          <w:color w:val="000000"/>
          <w:sz w:val="32"/>
          <w:szCs w:val="32"/>
        </w:rPr>
        <w:t>单位</w:t>
      </w:r>
      <w:r>
        <w:rPr>
          <w:rFonts w:ascii="Times New Roman" w:hAnsi="Times New Roman" w:eastAsia="仿宋_GB2312"/>
          <w:color w:val="000000"/>
          <w:sz w:val="32"/>
          <w:szCs w:val="32"/>
        </w:rPr>
        <w:t>严格按</w:t>
      </w:r>
      <w:r>
        <w:rPr>
          <w:rFonts w:hint="eastAsia" w:ascii="Times New Roman" w:hAnsi="Times New Roman" w:eastAsia="仿宋_GB2312"/>
          <w:color w:val="000000"/>
          <w:sz w:val="32"/>
          <w:szCs w:val="32"/>
        </w:rPr>
        <w:t>岳阳市财政局</w:t>
      </w:r>
      <w:r>
        <w:rPr>
          <w:rFonts w:ascii="Times New Roman" w:hAnsi="Times New Roman" w:eastAsia="仿宋_GB2312"/>
          <w:color w:val="000000"/>
          <w:sz w:val="32"/>
          <w:szCs w:val="32"/>
        </w:rPr>
        <w:t>的批复执行预算，“三公”经费、会议费等一般</w:t>
      </w:r>
      <w:r>
        <w:rPr>
          <w:rFonts w:hint="eastAsia" w:ascii="Times New Roman" w:hAnsi="Times New Roman" w:eastAsia="仿宋_GB2312"/>
          <w:color w:val="000000"/>
          <w:sz w:val="32"/>
          <w:szCs w:val="32"/>
        </w:rPr>
        <w:t>公共</w:t>
      </w:r>
      <w:r>
        <w:rPr>
          <w:rFonts w:ascii="Times New Roman" w:hAnsi="Times New Roman" w:eastAsia="仿宋_GB2312"/>
          <w:color w:val="000000"/>
          <w:sz w:val="32"/>
          <w:szCs w:val="32"/>
        </w:rPr>
        <w:t>支出严格控制在预算标准内，增强了职能履行和重点工作经费的保障能力；加快预算执行进度，提高资金使用绩效；持续推进预决算和“三公”经费公开，按时按质完成预决算公开，规范财务管理；加强财务监督检查，财务管理水平稳步提高。2022年，我</w:t>
      </w:r>
      <w:r>
        <w:rPr>
          <w:rFonts w:hint="eastAsia" w:ascii="Times New Roman" w:hAnsi="Times New Roman" w:eastAsia="仿宋_GB2312"/>
          <w:color w:val="000000"/>
          <w:sz w:val="32"/>
          <w:szCs w:val="32"/>
        </w:rPr>
        <w:t>单位</w:t>
      </w:r>
      <w:r>
        <w:rPr>
          <w:rFonts w:ascii="Times New Roman" w:hAnsi="Times New Roman" w:eastAsia="仿宋_GB2312"/>
          <w:color w:val="000000"/>
          <w:sz w:val="32"/>
          <w:szCs w:val="32"/>
        </w:rPr>
        <w:t>部门整体支出重点绩效情况如下：</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楷体_GB2312"/>
          <w:b/>
          <w:sz w:val="32"/>
          <w:szCs w:val="32"/>
        </w:rPr>
      </w:pPr>
      <w:r>
        <w:rPr>
          <w:rFonts w:ascii="Times New Roman" w:hAnsi="Times New Roman" w:eastAsia="楷体_GB2312"/>
          <w:b/>
          <w:sz w:val="32"/>
          <w:szCs w:val="32"/>
        </w:rPr>
        <w:t>（一）运行成本</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2022年，</w:t>
      </w:r>
      <w:r>
        <w:rPr>
          <w:rFonts w:hint="eastAsia" w:ascii="Times New Roman" w:hAnsi="Times New Roman" w:eastAsia="仿宋_GB2312"/>
          <w:color w:val="000000"/>
          <w:sz w:val="32"/>
          <w:szCs w:val="32"/>
        </w:rPr>
        <w:t>我单位</w:t>
      </w:r>
      <w:r>
        <w:rPr>
          <w:rFonts w:ascii="Times New Roman" w:hAnsi="Times New Roman" w:eastAsia="仿宋_GB2312"/>
          <w:color w:val="000000"/>
          <w:sz w:val="32"/>
          <w:szCs w:val="32"/>
        </w:rPr>
        <w:t>全年一般公共预算财政拨款安排的基本支出</w:t>
      </w:r>
      <w:r>
        <w:rPr>
          <w:rFonts w:hint="eastAsia" w:ascii="Times New Roman" w:hAnsi="Times New Roman" w:eastAsia="仿宋_GB2312"/>
          <w:color w:val="000000"/>
          <w:sz w:val="32"/>
          <w:szCs w:val="32"/>
        </w:rPr>
        <w:t>3821.17</w:t>
      </w:r>
      <w:r>
        <w:rPr>
          <w:rFonts w:ascii="Times New Roman" w:hAnsi="Times New Roman" w:eastAsia="仿宋_GB2312"/>
          <w:color w:val="000000"/>
          <w:sz w:val="32"/>
          <w:szCs w:val="32"/>
        </w:rPr>
        <w:t>万元，其中，人员经费</w:t>
      </w:r>
      <w:r>
        <w:rPr>
          <w:rFonts w:hint="eastAsia" w:ascii="Times New Roman" w:hAnsi="Times New Roman" w:eastAsia="仿宋_GB2312"/>
          <w:color w:val="000000"/>
          <w:sz w:val="32"/>
          <w:szCs w:val="32"/>
        </w:rPr>
        <w:t>3129.29</w:t>
      </w:r>
      <w:r>
        <w:rPr>
          <w:rFonts w:ascii="Times New Roman" w:hAnsi="Times New Roman" w:eastAsia="仿宋_GB2312"/>
          <w:color w:val="000000"/>
          <w:sz w:val="32"/>
          <w:szCs w:val="32"/>
        </w:rPr>
        <w:t>万元，日常公用经费</w:t>
      </w:r>
      <w:r>
        <w:rPr>
          <w:rFonts w:hint="eastAsia" w:ascii="Times New Roman" w:hAnsi="Times New Roman" w:eastAsia="仿宋_GB2312"/>
          <w:color w:val="000000"/>
          <w:sz w:val="32"/>
          <w:szCs w:val="32"/>
        </w:rPr>
        <w:t>691.88</w:t>
      </w:r>
      <w:r>
        <w:rPr>
          <w:rFonts w:ascii="Times New Roman" w:hAnsi="Times New Roman" w:eastAsia="仿宋_GB2312"/>
          <w:color w:val="000000"/>
          <w:sz w:val="32"/>
          <w:szCs w:val="32"/>
        </w:rPr>
        <w:t>万元。根据</w:t>
      </w:r>
      <w:r>
        <w:rPr>
          <w:rFonts w:hint="eastAsia" w:ascii="Times New Roman" w:hAnsi="Times New Roman" w:eastAsia="仿宋_GB2312"/>
          <w:color w:val="000000"/>
          <w:sz w:val="32"/>
          <w:szCs w:val="32"/>
        </w:rPr>
        <w:t>市直</w:t>
      </w:r>
      <w:r>
        <w:rPr>
          <w:rFonts w:ascii="Times New Roman" w:hAnsi="Times New Roman" w:eastAsia="仿宋_GB2312"/>
          <w:color w:val="000000"/>
          <w:sz w:val="32"/>
          <w:szCs w:val="32"/>
        </w:rPr>
        <w:t>相关工资标准支出人员经费，不超范围不超标准；严格落实中央和省</w:t>
      </w:r>
      <w:r>
        <w:rPr>
          <w:rFonts w:hint="eastAsia" w:ascii="Times New Roman" w:hAnsi="Times New Roman" w:eastAsia="仿宋_GB2312"/>
          <w:color w:val="000000"/>
          <w:sz w:val="32"/>
          <w:szCs w:val="32"/>
        </w:rPr>
        <w:t>市</w:t>
      </w:r>
      <w:r>
        <w:rPr>
          <w:rFonts w:ascii="Times New Roman" w:hAnsi="Times New Roman" w:eastAsia="仿宋_GB2312"/>
          <w:color w:val="000000"/>
          <w:sz w:val="32"/>
          <w:szCs w:val="32"/>
        </w:rPr>
        <w:t>关于压减一般性支出相关规定，坚持厉行节约，遵守国家财务管理规定，重大重点支出坚持事前审批，严格执行一般性公务支出标准，加快预算执行进度。</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仿宋_GB2312"/>
          <w:color w:val="000000"/>
          <w:sz w:val="32"/>
          <w:szCs w:val="32"/>
        </w:rPr>
      </w:pPr>
      <w:r>
        <w:rPr>
          <w:rFonts w:ascii="Times New Roman" w:hAnsi="Times New Roman" w:eastAsia="楷体_GB2312"/>
          <w:b/>
          <w:sz w:val="32"/>
          <w:szCs w:val="32"/>
        </w:rPr>
        <w:t>（二）管理效率</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2022年，</w:t>
      </w:r>
      <w:r>
        <w:rPr>
          <w:rFonts w:hint="eastAsia" w:ascii="Times New Roman" w:hAnsi="Times New Roman" w:eastAsia="仿宋_GB2312"/>
          <w:color w:val="000000"/>
          <w:sz w:val="32"/>
          <w:szCs w:val="32"/>
        </w:rPr>
        <w:t>我单位</w:t>
      </w:r>
      <w:r>
        <w:rPr>
          <w:rFonts w:hint="eastAsia" w:ascii="Times New Roman" w:hAnsi="Times New Roman" w:eastAsia="仿宋_GB2312"/>
          <w:color w:val="000000"/>
          <w:sz w:val="32"/>
          <w:szCs w:val="32"/>
          <w:lang w:eastAsia="zh-CN"/>
        </w:rPr>
        <w:t>年初结余</w:t>
      </w:r>
      <w:r>
        <w:rPr>
          <w:rFonts w:hint="eastAsia" w:ascii="Times New Roman" w:hAnsi="Times New Roman" w:eastAsia="仿宋_GB2312"/>
          <w:color w:val="000000"/>
          <w:sz w:val="32"/>
          <w:szCs w:val="32"/>
          <w:lang w:val="en-US" w:eastAsia="zh-CN"/>
        </w:rPr>
        <w:t>251.16万元，本年</w:t>
      </w:r>
      <w:r>
        <w:rPr>
          <w:rFonts w:ascii="Times New Roman" w:hAnsi="Times New Roman" w:eastAsia="仿宋_GB2312"/>
          <w:color w:val="000000"/>
          <w:sz w:val="32"/>
          <w:szCs w:val="32"/>
        </w:rPr>
        <w:t>财政拨款预算收入</w:t>
      </w:r>
      <w:r>
        <w:rPr>
          <w:rFonts w:hint="eastAsia" w:ascii="Times New Roman" w:hAnsi="Times New Roman" w:eastAsia="仿宋_GB2312"/>
          <w:color w:val="000000"/>
          <w:sz w:val="32"/>
          <w:szCs w:val="32"/>
        </w:rPr>
        <w:t>7209.82</w:t>
      </w:r>
      <w:r>
        <w:rPr>
          <w:rFonts w:ascii="Times New Roman" w:hAnsi="Times New Roman" w:eastAsia="仿宋_GB2312"/>
          <w:color w:val="000000"/>
          <w:sz w:val="32"/>
          <w:szCs w:val="32"/>
        </w:rPr>
        <w:t>万元，支出</w:t>
      </w:r>
      <w:r>
        <w:rPr>
          <w:rFonts w:hint="eastAsia" w:ascii="Times New Roman" w:hAnsi="Times New Roman" w:eastAsia="仿宋_GB2312"/>
          <w:color w:val="000000"/>
          <w:sz w:val="32"/>
          <w:szCs w:val="32"/>
        </w:rPr>
        <w:t>7206.12</w:t>
      </w:r>
      <w:r>
        <w:rPr>
          <w:rFonts w:ascii="Times New Roman" w:hAnsi="Times New Roman" w:eastAsia="仿宋_GB2312"/>
          <w:color w:val="000000"/>
          <w:sz w:val="32"/>
          <w:szCs w:val="32"/>
        </w:rPr>
        <w:t>万元，年末结余</w:t>
      </w:r>
      <w:r>
        <w:rPr>
          <w:rFonts w:hint="eastAsia" w:ascii="Times New Roman" w:hAnsi="Times New Roman" w:eastAsia="仿宋_GB2312"/>
          <w:color w:val="000000"/>
          <w:sz w:val="32"/>
          <w:szCs w:val="32"/>
        </w:rPr>
        <w:t>254.86</w:t>
      </w:r>
      <w:r>
        <w:rPr>
          <w:rFonts w:ascii="Times New Roman" w:hAnsi="Times New Roman" w:eastAsia="仿宋_GB2312"/>
          <w:color w:val="000000"/>
          <w:sz w:val="32"/>
          <w:szCs w:val="32"/>
        </w:rPr>
        <w:t>万元，</w:t>
      </w:r>
      <w:r>
        <w:rPr>
          <w:rFonts w:hint="eastAsia" w:ascii="Times New Roman" w:hAnsi="Times New Roman" w:eastAsia="仿宋_GB2312"/>
          <w:color w:val="000000"/>
          <w:sz w:val="32"/>
          <w:szCs w:val="32"/>
        </w:rPr>
        <w:t>主要为基本支出结余，</w:t>
      </w:r>
      <w:r>
        <w:rPr>
          <w:rFonts w:ascii="Times New Roman" w:hAnsi="Times New Roman" w:eastAsia="仿宋_GB2312"/>
          <w:color w:val="000000"/>
          <w:sz w:val="32"/>
          <w:szCs w:val="32"/>
        </w:rPr>
        <w:t>预算执行率为</w:t>
      </w:r>
      <w:r>
        <w:rPr>
          <w:rFonts w:hint="eastAsia" w:ascii="Times New Roman" w:hAnsi="Times New Roman" w:eastAsia="仿宋_GB2312"/>
          <w:color w:val="000000"/>
          <w:sz w:val="32"/>
          <w:szCs w:val="32"/>
        </w:rPr>
        <w:t>99.95</w:t>
      </w:r>
      <w:r>
        <w:rPr>
          <w:rFonts w:ascii="Times New Roman" w:hAnsi="Times New Roman" w:eastAsia="仿宋_GB2312"/>
          <w:color w:val="000000"/>
          <w:sz w:val="32"/>
          <w:szCs w:val="32"/>
        </w:rPr>
        <w:t>%。</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从结余情况看，影响预算执行率的主要原因为</w:t>
      </w:r>
      <w:r>
        <w:rPr>
          <w:rFonts w:hint="eastAsia" w:ascii="Times New Roman" w:hAnsi="Times New Roman" w:eastAsia="仿宋_GB2312"/>
          <w:color w:val="000000"/>
          <w:sz w:val="32"/>
          <w:szCs w:val="32"/>
        </w:rPr>
        <w:t>基本</w:t>
      </w:r>
      <w:r>
        <w:rPr>
          <w:rFonts w:ascii="Times New Roman" w:hAnsi="Times New Roman" w:eastAsia="仿宋_GB2312"/>
          <w:color w:val="000000"/>
          <w:sz w:val="32"/>
          <w:szCs w:val="32"/>
        </w:rPr>
        <w:t>支出，</w:t>
      </w:r>
      <w:r>
        <w:rPr>
          <w:rFonts w:hint="eastAsia" w:ascii="Times New Roman" w:hAnsi="Times New Roman" w:eastAsia="仿宋_GB2312"/>
          <w:color w:val="000000"/>
          <w:sz w:val="32"/>
          <w:szCs w:val="32"/>
        </w:rPr>
        <w:t>主要为公用支出结余。</w:t>
      </w:r>
      <w:r>
        <w:rPr>
          <w:rFonts w:ascii="Times New Roman" w:hAnsi="Times New Roman" w:eastAsia="仿宋_GB2312"/>
          <w:color w:val="000000"/>
          <w:sz w:val="32"/>
          <w:szCs w:val="32"/>
        </w:rPr>
        <w:t>今后重点加强</w:t>
      </w:r>
      <w:r>
        <w:rPr>
          <w:rFonts w:hint="eastAsia" w:ascii="Times New Roman" w:hAnsi="Times New Roman" w:eastAsia="仿宋_GB2312"/>
          <w:color w:val="000000"/>
          <w:sz w:val="32"/>
          <w:szCs w:val="32"/>
        </w:rPr>
        <w:t>预算指标准确度和精细度，加强与</w:t>
      </w:r>
      <w:r>
        <w:rPr>
          <w:rFonts w:ascii="Times New Roman" w:hAnsi="Times New Roman" w:eastAsia="仿宋_GB2312"/>
          <w:color w:val="000000"/>
          <w:sz w:val="32"/>
          <w:szCs w:val="32"/>
        </w:rPr>
        <w:t>业务</w:t>
      </w:r>
      <w:r>
        <w:rPr>
          <w:rFonts w:hint="eastAsia" w:ascii="Times New Roman" w:hAnsi="Times New Roman" w:eastAsia="仿宋_GB2312"/>
          <w:color w:val="000000"/>
          <w:sz w:val="32"/>
          <w:szCs w:val="32"/>
        </w:rPr>
        <w:t>部</w:t>
      </w:r>
      <w:r>
        <w:rPr>
          <w:rFonts w:ascii="Times New Roman" w:hAnsi="Times New Roman" w:eastAsia="仿宋_GB2312"/>
          <w:color w:val="000000"/>
          <w:sz w:val="32"/>
          <w:szCs w:val="32"/>
        </w:rPr>
        <w:t>室</w:t>
      </w:r>
      <w:r>
        <w:rPr>
          <w:rFonts w:hint="eastAsia" w:ascii="Times New Roman" w:hAnsi="Times New Roman" w:eastAsia="仿宋_GB2312"/>
          <w:color w:val="000000"/>
          <w:sz w:val="32"/>
          <w:szCs w:val="32"/>
        </w:rPr>
        <w:t>沟通</w:t>
      </w:r>
      <w:r>
        <w:rPr>
          <w:rFonts w:ascii="Times New Roman" w:hAnsi="Times New Roman" w:eastAsia="仿宋_GB2312"/>
          <w:color w:val="000000"/>
          <w:sz w:val="32"/>
          <w:szCs w:val="32"/>
        </w:rPr>
        <w:t>衔接，定期调度预算执行进度，提升资金支付效率。</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仿宋_GB2312"/>
          <w:color w:val="000000"/>
          <w:sz w:val="32"/>
          <w:szCs w:val="32"/>
        </w:rPr>
      </w:pPr>
      <w:r>
        <w:rPr>
          <w:rFonts w:ascii="Times New Roman" w:hAnsi="Times New Roman" w:eastAsia="楷体_GB2312"/>
          <w:b/>
          <w:sz w:val="32"/>
          <w:szCs w:val="32"/>
        </w:rPr>
        <w:t>（三）履职效能</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2022年以来，在省纪委监委和岳阳市委的正确领导下，岳阳市纪委监委忠诚履职，主动作为，各项工作取得新成效。</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一是理论武装入脑入心。学懂弄通做实习近平新时代中国特色社会主义思想，严格落实“第一议题”制度今年来开展理论学习中心组学习 12 次，确保党中央最新精神落地生根、见行见效。</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二是自身建设从严从实。坚持讲“土话”、讲“丑话”、讲实话、讲管用的话，出台《关于进一步加强市纪委常委班子自身建设的十条规定》，对加强自身建设作出具体规定。出台《岳阳市纪委监委公文错情通报制度》，切实改进文风作风。刚性执行省纪委十二条“负面清单”，将最严格的监督和约束落到实处。</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三是干部队伍向善向好。完成派驻纪检监察组组长第一轮全员轮岗“换防”，进一步优化队伍结构、激发队伍活力。举办首场“借调归来话感受”报告会，建立互帮、互教、互学交流平台。</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2023年，我们将以学习宣传贯彻党的二十大精神为统揽，认真落实中央纪委、省纪委全会部署和市委要求，坚定不移推进全面从严治党。</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黑体"/>
          <w:sz w:val="32"/>
          <w:szCs w:val="32"/>
        </w:rPr>
      </w:pPr>
      <w:r>
        <w:rPr>
          <w:rFonts w:ascii="Times New Roman" w:hAnsi="Times New Roman" w:eastAsia="黑体"/>
          <w:sz w:val="32"/>
          <w:szCs w:val="32"/>
        </w:rPr>
        <w:t>七、存在的问题及原因分析</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楷体_GB2312"/>
          <w:b/>
          <w:sz w:val="32"/>
          <w:szCs w:val="32"/>
        </w:rPr>
      </w:pPr>
      <w:r>
        <w:rPr>
          <w:rFonts w:ascii="Times New Roman" w:hAnsi="Times New Roman" w:eastAsia="楷体_GB2312"/>
          <w:b/>
          <w:sz w:val="32"/>
          <w:szCs w:val="32"/>
        </w:rPr>
        <w:t>（一）预算绩效管理追踪执行力度有待加强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开展全面预算绩效管理，需要对各项目的绩效完成进度及资金使用情况进行持续监督与追踪，本年度对于部分年中财政临时追加下达的项目工作经费，未及时设置绩效目标。主要原因是我</w:t>
      </w:r>
      <w:r>
        <w:rPr>
          <w:rFonts w:hint="eastAsia" w:ascii="Times New Roman" w:hAnsi="Times New Roman" w:eastAsia="仿宋_GB2312"/>
          <w:sz w:val="32"/>
          <w:szCs w:val="32"/>
        </w:rPr>
        <w:t>单位</w:t>
      </w:r>
      <w:r>
        <w:rPr>
          <w:rFonts w:ascii="Times New Roman" w:hAnsi="Times New Roman" w:eastAsia="仿宋_GB2312"/>
          <w:sz w:val="32"/>
          <w:szCs w:val="32"/>
        </w:rPr>
        <w:t>为发挥资金使用效益，结合实际资金缺口对追加资金进行了较长时间的研究和统筹。</w:t>
      </w:r>
    </w:p>
    <w:p>
      <w:pPr>
        <w:pStyle w:val="5"/>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Times New Roman" w:hAnsi="Times New Roman" w:eastAsia="楷体_GB2312"/>
          <w:b/>
          <w:sz w:val="32"/>
          <w:szCs w:val="32"/>
        </w:rPr>
      </w:pPr>
      <w:r>
        <w:rPr>
          <w:rFonts w:ascii="Times New Roman" w:hAnsi="Times New Roman" w:eastAsia="楷体_GB2312"/>
          <w:b/>
          <w:sz w:val="32"/>
          <w:szCs w:val="32"/>
        </w:rPr>
        <w:t>（二）项目预算执行率有待提高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从整体情况看，</w:t>
      </w:r>
      <w:r>
        <w:rPr>
          <w:rFonts w:hint="eastAsia" w:ascii="Times New Roman" w:hAnsi="Times New Roman" w:eastAsia="仿宋_GB2312"/>
          <w:sz w:val="32"/>
          <w:szCs w:val="32"/>
        </w:rPr>
        <w:t>项目</w:t>
      </w:r>
      <w:r>
        <w:rPr>
          <w:rFonts w:ascii="Times New Roman" w:hAnsi="Times New Roman" w:eastAsia="仿宋_GB2312"/>
          <w:sz w:val="32"/>
          <w:szCs w:val="32"/>
        </w:rPr>
        <w:t>支出预算完成率和预算控制率完成较好，部分项目指标执行率</w:t>
      </w:r>
      <w:r>
        <w:rPr>
          <w:rFonts w:hint="eastAsia" w:ascii="Times New Roman" w:hAnsi="Times New Roman" w:eastAsia="仿宋_GB2312"/>
          <w:sz w:val="32"/>
          <w:szCs w:val="32"/>
        </w:rPr>
        <w:t>有待加强。</w:t>
      </w:r>
      <w:r>
        <w:rPr>
          <w:rFonts w:ascii="Times New Roman" w:hAnsi="Times New Roman" w:eastAsia="仿宋_GB2312"/>
          <w:sz w:val="32"/>
          <w:szCs w:val="32"/>
        </w:rPr>
        <w:t>主要原因</w:t>
      </w:r>
      <w:r>
        <w:rPr>
          <w:rFonts w:hint="eastAsia" w:ascii="Times New Roman" w:hAnsi="Times New Roman" w:eastAsia="仿宋_GB2312"/>
          <w:sz w:val="32"/>
          <w:szCs w:val="32"/>
        </w:rPr>
        <w:t>是预算指标申请金额未完全匹配实际使用需要，导致年终时有出现批量调剂指标情况</w:t>
      </w:r>
      <w:r>
        <w:rPr>
          <w:rFonts w:ascii="Times New Roman" w:hAnsi="Times New Roman" w:eastAsia="仿宋_GB2312"/>
          <w:sz w:val="32"/>
          <w:szCs w:val="32"/>
        </w:rPr>
        <w:t>。</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下一步改进措施</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sz w:val="32"/>
          <w:szCs w:val="32"/>
        </w:rPr>
        <w:t>（一）加强沟通对接，提升预算执行率</w:t>
      </w:r>
      <w:r>
        <w:rPr>
          <w:rFonts w:hint="eastAsia" w:ascii="Times New Roman" w:hAnsi="Times New Roman" w:eastAsia="楷体_GB2312"/>
          <w:b/>
          <w:sz w:val="32"/>
          <w:szCs w:val="32"/>
        </w:rPr>
        <w:t>。</w:t>
      </w:r>
      <w:r>
        <w:rPr>
          <w:rFonts w:ascii="Times New Roman" w:hAnsi="Times New Roman" w:eastAsia="仿宋_GB2312"/>
          <w:sz w:val="32"/>
          <w:szCs w:val="32"/>
        </w:rPr>
        <w:t>科学合理安排年度预算，及时申请结余已收回资金重新下达，加强与财评部门沟通联系，保障支付、财评、结算等程序进程，</w:t>
      </w:r>
      <w:r>
        <w:rPr>
          <w:rFonts w:hint="eastAsia" w:ascii="Times New Roman" w:hAnsi="Times New Roman" w:eastAsia="仿宋_GB2312"/>
          <w:sz w:val="32"/>
          <w:szCs w:val="32"/>
        </w:rPr>
        <w:t>提高</w:t>
      </w:r>
      <w:r>
        <w:rPr>
          <w:rFonts w:ascii="Times New Roman" w:hAnsi="Times New Roman" w:eastAsia="仿宋_GB2312"/>
          <w:sz w:val="32"/>
          <w:szCs w:val="32"/>
        </w:rPr>
        <w:t>资金支付</w:t>
      </w:r>
      <w:r>
        <w:rPr>
          <w:rFonts w:hint="eastAsia" w:ascii="Times New Roman" w:hAnsi="Times New Roman" w:eastAsia="仿宋_GB2312"/>
          <w:sz w:val="32"/>
          <w:szCs w:val="32"/>
        </w:rPr>
        <w:t>速度</w:t>
      </w:r>
      <w:r>
        <w:rPr>
          <w:rFonts w:ascii="Times New Roman" w:hAnsi="Times New Roman" w:eastAsia="仿宋_GB2312"/>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sz w:val="32"/>
          <w:szCs w:val="32"/>
        </w:rPr>
        <w:t>（二）进一步提高预算编制的科学性与预见性</w:t>
      </w:r>
      <w:r>
        <w:rPr>
          <w:rFonts w:hint="eastAsia" w:ascii="Times New Roman" w:hAnsi="Times New Roman" w:eastAsia="楷体_GB2312"/>
          <w:b/>
          <w:sz w:val="32"/>
          <w:szCs w:val="32"/>
        </w:rPr>
        <w:t>。</w:t>
      </w:r>
      <w:r>
        <w:rPr>
          <w:rFonts w:ascii="Times New Roman" w:hAnsi="Times New Roman" w:eastAsia="仿宋_GB2312"/>
          <w:sz w:val="32"/>
          <w:szCs w:val="32"/>
        </w:rPr>
        <w:t>结合实际运转需要，预编一部分不可预计费用，不断提升财政资金使用的精准性和准确性。</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sz w:val="32"/>
          <w:szCs w:val="32"/>
        </w:rPr>
        <w:t>（三）严格绩效和监督管理。</w:t>
      </w:r>
      <w:r>
        <w:rPr>
          <w:rFonts w:ascii="Times New Roman" w:hAnsi="Times New Roman" w:eastAsia="仿宋_GB2312"/>
          <w:sz w:val="32"/>
          <w:szCs w:val="32"/>
        </w:rPr>
        <w:t>加强对项目的监督检查，督促项目按计划进度实施，确保项目按期实现预算绩效目标。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九、部门整体支出绩效自评结果拟应用和公开情况</w:t>
      </w:r>
    </w:p>
    <w:p>
      <w:pPr>
        <w:pStyle w:val="2"/>
        <w:keepNext w:val="0"/>
        <w:keepLines w:val="0"/>
        <w:pageBreakBefore w:val="0"/>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针对绩效自评中发现的问题，我</w:t>
      </w:r>
      <w:r>
        <w:rPr>
          <w:rFonts w:hint="eastAsia" w:ascii="Times New Roman" w:hAnsi="Times New Roman" w:eastAsia="仿宋_GB2312"/>
          <w:sz w:val="32"/>
          <w:szCs w:val="32"/>
        </w:rPr>
        <w:t>单位</w:t>
      </w:r>
      <w:r>
        <w:rPr>
          <w:rFonts w:ascii="Times New Roman" w:hAnsi="Times New Roman" w:eastAsia="仿宋_GB2312"/>
          <w:sz w:val="32"/>
          <w:szCs w:val="32"/>
        </w:rPr>
        <w:t>将加强与相关单位的沟通协调，采取切实可行的举措整改落实到位。同时，按要求在</w:t>
      </w:r>
      <w:r>
        <w:rPr>
          <w:rFonts w:hint="eastAsia" w:ascii="Times New Roman" w:hAnsi="Times New Roman" w:eastAsia="仿宋_GB2312"/>
          <w:sz w:val="32"/>
          <w:szCs w:val="32"/>
        </w:rPr>
        <w:t>政府</w:t>
      </w:r>
      <w:r>
        <w:rPr>
          <w:rFonts w:ascii="Times New Roman" w:hAnsi="Times New Roman" w:eastAsia="仿宋_GB2312"/>
          <w:sz w:val="32"/>
          <w:szCs w:val="32"/>
        </w:rPr>
        <w:t>门户网站公开我</w:t>
      </w:r>
      <w:r>
        <w:rPr>
          <w:rFonts w:hint="eastAsia" w:ascii="Times New Roman" w:hAnsi="Times New Roman" w:eastAsia="仿宋_GB2312"/>
          <w:sz w:val="32"/>
          <w:szCs w:val="32"/>
        </w:rPr>
        <w:t>单位</w:t>
      </w:r>
      <w:r>
        <w:rPr>
          <w:rFonts w:ascii="Times New Roman" w:hAnsi="Times New Roman" w:eastAsia="仿宋_GB2312"/>
          <w:sz w:val="32"/>
          <w:szCs w:val="32"/>
        </w:rPr>
        <w:t>2022年部门整体支出绩效自评报告，接受社会监督。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报告需要以下附件：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1.部门整体支出绩效评价基础数据表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2.部门整体支出绩效自评表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3.项目支出绩效自评表（一个一级项目支出一张表）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4.政府性基金预算支出情况表</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lang w:eastAsia="zh-CN"/>
        </w:rPr>
        <w:t>无）</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5.国有资本经营预算支出情况表</w:t>
      </w:r>
      <w:r>
        <w:rPr>
          <w:rFonts w:hint="eastAsia" w:ascii="仿宋_GB2312" w:hAnsi="仿宋_GB2312" w:eastAsia="仿宋_GB2312" w:cs="仿宋_GB2312"/>
          <w:sz w:val="32"/>
          <w:szCs w:val="32"/>
          <w:lang w:eastAsia="zh-CN"/>
        </w:rPr>
        <w:t>（无）</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6.社会保险基金预算支出情况表</w:t>
      </w:r>
      <w:r>
        <w:rPr>
          <w:rFonts w:hint="eastAsia" w:ascii="仿宋_GB2312" w:hAnsi="仿宋_GB2312" w:eastAsia="仿宋_GB2312" w:cs="仿宋_GB2312"/>
          <w:sz w:val="32"/>
          <w:szCs w:val="32"/>
          <w:lang w:eastAsia="zh-CN"/>
        </w:rPr>
        <w:t>（无）</w:t>
      </w:r>
    </w:p>
    <w:p>
      <w:pPr>
        <w:widowControl/>
        <w:spacing w:line="640" w:lineRule="exact"/>
        <w:rPr>
          <w:rFonts w:ascii="黑体" w:hAnsi="黑体" w:eastAsia="黑体" w:cs="黑体"/>
          <w:sz w:val="32"/>
          <w:szCs w:val="32"/>
        </w:rPr>
      </w:pPr>
      <w:r>
        <w:rPr>
          <w:rFonts w:hint="eastAsia" w:ascii="仿宋_GB2312" w:hAnsi="仿宋_GB2312" w:eastAsia="仿宋_GB2312" w:cs="仿宋_GB2312"/>
          <w:sz w:val="32"/>
          <w:szCs w:val="32"/>
        </w:rPr>
        <w:br w:type="page"/>
      </w:r>
      <w:r>
        <w:rPr>
          <w:rFonts w:hint="eastAsia" w:ascii="黑体" w:hAnsi="黑体" w:eastAsia="黑体" w:cs="黑体"/>
          <w:sz w:val="32"/>
          <w:szCs w:val="32"/>
        </w:rPr>
        <w:t>附件5</w:t>
      </w:r>
    </w:p>
    <w:p>
      <w:pPr>
        <w:spacing w:before="156" w:beforeLines="50" w:after="156" w:afterLines="50"/>
        <w:jc w:val="center"/>
        <w:rPr>
          <w:rFonts w:ascii="方正小标宋简体" w:hAnsi="方正小标宋简体" w:eastAsia="方正小标宋简体" w:cs="方正小标宋简体"/>
          <w:spacing w:val="-6"/>
          <w:sz w:val="36"/>
          <w:szCs w:val="36"/>
        </w:rPr>
      </w:pPr>
      <w:r>
        <w:rPr>
          <w:rFonts w:hint="eastAsia" w:ascii="方正小标宋简体" w:hAnsi="方正小标宋简体" w:eastAsia="方正小标宋简体" w:cs="方正小标宋简体"/>
          <w:sz w:val="36"/>
          <w:szCs w:val="36"/>
        </w:rPr>
        <w:t>部门整体支出</w:t>
      </w:r>
      <w:r>
        <w:rPr>
          <w:rFonts w:hint="eastAsia" w:ascii="方正小标宋简体" w:hAnsi="方正小标宋简体" w:eastAsia="方正小标宋简体" w:cs="方正小标宋简体"/>
          <w:spacing w:val="-6"/>
          <w:sz w:val="36"/>
          <w:szCs w:val="36"/>
        </w:rPr>
        <w:t>绩效自评工作考核评分表</w:t>
      </w:r>
    </w:p>
    <w:tbl>
      <w:tblPr>
        <w:tblStyle w:val="3"/>
        <w:tblW w:w="9941" w:type="dxa"/>
        <w:jc w:val="center"/>
        <w:tblLayout w:type="fixed"/>
        <w:tblCellMar>
          <w:top w:w="0" w:type="dxa"/>
          <w:left w:w="108" w:type="dxa"/>
          <w:bottom w:w="0" w:type="dxa"/>
          <w:right w:w="108" w:type="dxa"/>
        </w:tblCellMar>
      </w:tblPr>
      <w:tblGrid>
        <w:gridCol w:w="745"/>
        <w:gridCol w:w="1174"/>
        <w:gridCol w:w="5000"/>
        <w:gridCol w:w="3022"/>
      </w:tblGrid>
      <w:tr>
        <w:tblPrEx>
          <w:tblCellMar>
            <w:top w:w="0" w:type="dxa"/>
            <w:left w:w="108" w:type="dxa"/>
            <w:bottom w:w="0" w:type="dxa"/>
            <w:right w:w="108" w:type="dxa"/>
          </w:tblCellMar>
        </w:tblPrEx>
        <w:trPr>
          <w:tblHeader/>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黑体"/>
                <w:bCs/>
                <w:sz w:val="21"/>
                <w:szCs w:val="21"/>
              </w:rPr>
            </w:pPr>
            <w:r>
              <w:rPr>
                <w:rFonts w:ascii="Times New Roman" w:hAnsi="Times New Roman" w:eastAsia="黑体"/>
                <w:bCs/>
                <w:sz w:val="21"/>
                <w:szCs w:val="21"/>
              </w:rPr>
              <w:t>一级指标</w:t>
            </w:r>
          </w:p>
        </w:tc>
        <w:tc>
          <w:tcPr>
            <w:tcW w:w="1174"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黑体"/>
                <w:bCs/>
                <w:sz w:val="21"/>
                <w:szCs w:val="21"/>
              </w:rPr>
            </w:pPr>
            <w:r>
              <w:rPr>
                <w:rFonts w:ascii="Times New Roman" w:hAnsi="Times New Roman" w:eastAsia="黑体"/>
                <w:bCs/>
                <w:sz w:val="21"/>
                <w:szCs w:val="21"/>
              </w:rPr>
              <w:t>二级指标</w:t>
            </w:r>
          </w:p>
        </w:tc>
        <w:tc>
          <w:tcPr>
            <w:tcW w:w="5000"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黑体"/>
                <w:bCs/>
                <w:sz w:val="21"/>
                <w:szCs w:val="21"/>
              </w:rPr>
            </w:pPr>
            <w:r>
              <w:rPr>
                <w:rFonts w:ascii="Times New Roman" w:hAnsi="Times New Roman" w:eastAsia="黑体"/>
                <w:bCs/>
                <w:sz w:val="21"/>
                <w:szCs w:val="21"/>
              </w:rPr>
              <w:t>评分标准</w:t>
            </w:r>
          </w:p>
        </w:tc>
        <w:tc>
          <w:tcPr>
            <w:tcW w:w="3022"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黑体"/>
                <w:bCs/>
                <w:sz w:val="21"/>
                <w:szCs w:val="21"/>
              </w:rPr>
            </w:pPr>
            <w:r>
              <w:rPr>
                <w:rFonts w:ascii="Times New Roman" w:hAnsi="Times New Roman" w:eastAsia="黑体"/>
                <w:bCs/>
                <w:sz w:val="21"/>
                <w:szCs w:val="21"/>
              </w:rPr>
              <w:t>所需佐证材料</w:t>
            </w:r>
          </w:p>
        </w:tc>
      </w:tr>
      <w:tr>
        <w:tblPrEx>
          <w:tblCellMar>
            <w:top w:w="0" w:type="dxa"/>
            <w:left w:w="108" w:type="dxa"/>
            <w:bottom w:w="0" w:type="dxa"/>
            <w:right w:w="108" w:type="dxa"/>
          </w:tblCellMar>
        </w:tblPrEx>
        <w:trPr>
          <w:jc w:val="center"/>
        </w:trPr>
        <w:tc>
          <w:tcPr>
            <w:tcW w:w="745" w:type="dxa"/>
            <w:vMerge w:val="restart"/>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布置工作</w:t>
            </w:r>
          </w:p>
          <w:p>
            <w:pPr>
              <w:spacing w:line="300" w:lineRule="exact"/>
              <w:jc w:val="center"/>
              <w:rPr>
                <w:rFonts w:ascii="Times New Roman" w:hAnsi="Times New Roman" w:eastAsia="仿宋_GB2312"/>
                <w:sz w:val="20"/>
                <w:szCs w:val="20"/>
              </w:rPr>
            </w:pPr>
          </w:p>
          <w:p>
            <w:pPr>
              <w:spacing w:line="300" w:lineRule="exact"/>
              <w:jc w:val="left"/>
              <w:rPr>
                <w:rFonts w:ascii="Times New Roman" w:hAnsi="Times New Roman" w:eastAsia="仿宋_GB2312"/>
                <w:sz w:val="20"/>
                <w:szCs w:val="20"/>
              </w:rPr>
            </w:pPr>
            <w:r>
              <w:rPr>
                <w:rFonts w:ascii="Times New Roman" w:hAnsi="Times New Roman" w:eastAsia="仿宋_GB2312"/>
                <w:sz w:val="20"/>
                <w:szCs w:val="20"/>
              </w:rPr>
              <w:t>10分</w:t>
            </w:r>
          </w:p>
        </w:tc>
        <w:tc>
          <w:tcPr>
            <w:tcW w:w="1174" w:type="dxa"/>
            <w:tcBorders>
              <w:top w:val="single" w:color="auto" w:sz="4" w:space="0"/>
              <w:left w:val="nil"/>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自评通知</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（8分）</w:t>
            </w:r>
          </w:p>
        </w:tc>
        <w:tc>
          <w:tcPr>
            <w:tcW w:w="5000"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仿宋_GB2312"/>
                <w:sz w:val="20"/>
                <w:szCs w:val="20"/>
              </w:rPr>
            </w:pPr>
            <w:r>
              <w:rPr>
                <w:rFonts w:ascii="Times New Roman" w:hAnsi="Times New Roman" w:eastAsia="仿宋_GB2312"/>
                <w:sz w:val="20"/>
                <w:szCs w:val="20"/>
              </w:rPr>
              <w:t>1</w:t>
            </w:r>
            <w:r>
              <w:rPr>
                <w:rFonts w:hint="eastAsia" w:ascii="Times New Roman" w:hAnsi="Times New Roman" w:eastAsia="仿宋_GB2312"/>
                <w:sz w:val="20"/>
                <w:szCs w:val="20"/>
              </w:rPr>
              <w:t>.</w:t>
            </w:r>
            <w:r>
              <w:rPr>
                <w:rFonts w:ascii="Times New Roman" w:hAnsi="Times New Roman" w:eastAsia="仿宋_GB2312"/>
                <w:sz w:val="20"/>
                <w:szCs w:val="20"/>
              </w:rPr>
              <w:t>印发绩效自评通知的得2分，否则不得分。</w:t>
            </w:r>
          </w:p>
          <w:p>
            <w:pPr>
              <w:spacing w:line="300" w:lineRule="exact"/>
              <w:rPr>
                <w:rFonts w:ascii="Times New Roman" w:hAnsi="Times New Roman" w:eastAsia="仿宋_GB2312"/>
                <w:sz w:val="20"/>
                <w:szCs w:val="20"/>
              </w:rPr>
            </w:pPr>
            <w:r>
              <w:rPr>
                <w:rFonts w:ascii="Times New Roman" w:hAnsi="Times New Roman" w:eastAsia="仿宋_GB2312"/>
                <w:sz w:val="20"/>
                <w:szCs w:val="20"/>
              </w:rPr>
              <w:t>2</w:t>
            </w:r>
            <w:r>
              <w:rPr>
                <w:rFonts w:hint="eastAsia" w:ascii="Times New Roman" w:hAnsi="Times New Roman" w:eastAsia="仿宋_GB2312"/>
                <w:sz w:val="20"/>
                <w:szCs w:val="20"/>
              </w:rPr>
              <w:t>.</w:t>
            </w:r>
            <w:r>
              <w:rPr>
                <w:rFonts w:ascii="Times New Roman" w:hAnsi="Times New Roman" w:eastAsia="仿宋_GB2312"/>
                <w:sz w:val="20"/>
                <w:szCs w:val="20"/>
              </w:rPr>
              <w:t>按照本规程规定，绩效自评通知包括自评范围、自评主要依据、自评主要内容、自评程序和步骤、有关要求等内容，并附有本通知要求的附件的，得6分；否则缺1项扣1分，最多扣6分。</w:t>
            </w:r>
          </w:p>
        </w:tc>
        <w:tc>
          <w:tcPr>
            <w:tcW w:w="3022"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仿宋_GB2312"/>
                <w:sz w:val="20"/>
                <w:szCs w:val="20"/>
              </w:rPr>
            </w:pPr>
            <w:r>
              <w:rPr>
                <w:rFonts w:ascii="Times New Roman" w:hAnsi="Times New Roman" w:eastAsia="仿宋_GB2312"/>
                <w:sz w:val="20"/>
                <w:szCs w:val="20"/>
              </w:rPr>
              <w:t>绩效自评通知盖章的电子版</w:t>
            </w:r>
          </w:p>
        </w:tc>
      </w:tr>
      <w:tr>
        <w:tblPrEx>
          <w:tblCellMar>
            <w:top w:w="0" w:type="dxa"/>
            <w:left w:w="108" w:type="dxa"/>
            <w:bottom w:w="0" w:type="dxa"/>
            <w:right w:w="108" w:type="dxa"/>
          </w:tblCellMar>
        </w:tblPrEx>
        <w:trPr>
          <w:jc w:val="center"/>
        </w:trPr>
        <w:tc>
          <w:tcPr>
            <w:tcW w:w="745" w:type="dxa"/>
            <w:vMerge w:val="continue"/>
            <w:tcBorders>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sz w:val="20"/>
                <w:szCs w:val="20"/>
              </w:rPr>
            </w:pPr>
          </w:p>
        </w:tc>
        <w:tc>
          <w:tcPr>
            <w:tcW w:w="1174"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工作小组</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（2分）</w:t>
            </w:r>
          </w:p>
        </w:tc>
        <w:tc>
          <w:tcPr>
            <w:tcW w:w="5000"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仿宋_GB2312"/>
                <w:sz w:val="20"/>
                <w:szCs w:val="20"/>
              </w:rPr>
            </w:pPr>
            <w:r>
              <w:rPr>
                <w:rFonts w:ascii="Times New Roman" w:hAnsi="Times New Roman" w:eastAsia="仿宋_GB2312"/>
                <w:sz w:val="20"/>
                <w:szCs w:val="20"/>
              </w:rPr>
              <w:t>成立绩效自评工作小组的得2分，否则不得分。</w:t>
            </w:r>
          </w:p>
        </w:tc>
        <w:tc>
          <w:tcPr>
            <w:tcW w:w="3022"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仿宋_GB2312"/>
                <w:sz w:val="20"/>
                <w:szCs w:val="20"/>
              </w:rPr>
            </w:pPr>
            <w:r>
              <w:rPr>
                <w:rFonts w:ascii="Times New Roman" w:hAnsi="Times New Roman" w:eastAsia="仿宋_GB2312"/>
                <w:sz w:val="20"/>
                <w:szCs w:val="20"/>
              </w:rPr>
              <w:t>本部门、本单位预算绩效管理领导小组/绩效评价工作小组有关文件盖章的电子版</w:t>
            </w:r>
          </w:p>
        </w:tc>
      </w:tr>
      <w:tr>
        <w:tblPrEx>
          <w:tblCellMar>
            <w:top w:w="0" w:type="dxa"/>
            <w:left w:w="108" w:type="dxa"/>
            <w:bottom w:w="0" w:type="dxa"/>
            <w:right w:w="108" w:type="dxa"/>
          </w:tblCellMar>
        </w:tblPrEx>
        <w:trPr>
          <w:jc w:val="center"/>
        </w:trPr>
        <w:tc>
          <w:tcPr>
            <w:tcW w:w="745" w:type="dxa"/>
            <w:vMerge w:val="restart"/>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实施评价</w:t>
            </w:r>
          </w:p>
          <w:p>
            <w:pPr>
              <w:spacing w:line="300" w:lineRule="exact"/>
              <w:jc w:val="center"/>
              <w:rPr>
                <w:rFonts w:ascii="Times New Roman" w:hAnsi="Times New Roman" w:eastAsia="仿宋_GB2312"/>
                <w:sz w:val="20"/>
                <w:szCs w:val="20"/>
              </w:rPr>
            </w:pP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20分</w:t>
            </w:r>
          </w:p>
        </w:tc>
        <w:tc>
          <w:tcPr>
            <w:tcW w:w="1174"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单位自查</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（10分）</w:t>
            </w:r>
          </w:p>
        </w:tc>
        <w:tc>
          <w:tcPr>
            <w:tcW w:w="5000"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仿宋_GB2312"/>
                <w:sz w:val="20"/>
                <w:szCs w:val="20"/>
              </w:rPr>
            </w:pPr>
            <w:r>
              <w:rPr>
                <w:rFonts w:hint="eastAsia" w:ascii="Times New Roman" w:hAnsi="Times New Roman" w:eastAsia="仿宋_GB2312"/>
                <w:sz w:val="20"/>
                <w:szCs w:val="20"/>
              </w:rPr>
              <w:t>市级</w:t>
            </w:r>
            <w:r>
              <w:rPr>
                <w:rFonts w:ascii="Times New Roman" w:hAnsi="Times New Roman" w:eastAsia="仿宋_GB2312"/>
                <w:sz w:val="20"/>
                <w:szCs w:val="20"/>
              </w:rPr>
              <w:t>预算部门本级和所属单位都要开展绩效自查，转移支付项目单位都要开展绩效自查，</w:t>
            </w:r>
            <w:r>
              <w:rPr>
                <w:rFonts w:hint="eastAsia" w:ascii="Times New Roman" w:hAnsi="Times New Roman" w:eastAsia="仿宋_GB2312"/>
                <w:sz w:val="20"/>
                <w:szCs w:val="20"/>
              </w:rPr>
              <w:t>县、区</w:t>
            </w:r>
            <w:r>
              <w:rPr>
                <w:rFonts w:ascii="Times New Roman" w:hAnsi="Times New Roman" w:eastAsia="仿宋_GB2312"/>
                <w:sz w:val="20"/>
                <w:szCs w:val="20"/>
              </w:rPr>
              <w:t>级主管部门都要汇总本区域转移支付情况；以上各项每发现一个单位没有做相应工作的，扣1分，最多扣10分。</w:t>
            </w:r>
          </w:p>
        </w:tc>
        <w:tc>
          <w:tcPr>
            <w:tcW w:w="3022" w:type="dxa"/>
            <w:tcBorders>
              <w:top w:val="single" w:color="auto" w:sz="4" w:space="0"/>
              <w:left w:val="nil"/>
              <w:bottom w:val="single" w:color="auto" w:sz="4" w:space="0"/>
              <w:right w:val="single" w:color="auto" w:sz="4" w:space="0"/>
            </w:tcBorders>
            <w:vAlign w:val="center"/>
          </w:tcPr>
          <w:p>
            <w:pPr>
              <w:numPr>
                <w:ilvl w:val="0"/>
                <w:numId w:val="4"/>
              </w:numPr>
              <w:spacing w:line="300" w:lineRule="exact"/>
              <w:rPr>
                <w:rFonts w:ascii="Times New Roman" w:hAnsi="Times New Roman" w:eastAsia="仿宋_GB2312"/>
                <w:sz w:val="20"/>
                <w:szCs w:val="20"/>
              </w:rPr>
            </w:pPr>
            <w:r>
              <w:rPr>
                <w:rFonts w:ascii="Times New Roman" w:hAnsi="Times New Roman" w:eastAsia="仿宋_GB2312"/>
                <w:sz w:val="20"/>
                <w:szCs w:val="20"/>
              </w:rPr>
              <w:t>转移支付项目单位名称和资</w:t>
            </w:r>
            <w:r>
              <w:rPr>
                <w:rFonts w:hint="eastAsia" w:ascii="Times New Roman" w:hAnsi="Times New Roman" w:eastAsia="仿宋_GB2312"/>
                <w:sz w:val="20"/>
                <w:szCs w:val="20"/>
              </w:rPr>
              <w:t xml:space="preserve"> </w:t>
            </w:r>
            <w:r>
              <w:rPr>
                <w:rFonts w:ascii="Times New Roman" w:hAnsi="Times New Roman" w:eastAsia="仿宋_GB2312"/>
                <w:sz w:val="20"/>
                <w:szCs w:val="20"/>
              </w:rPr>
              <w:t>金情况清单</w:t>
            </w:r>
          </w:p>
          <w:p>
            <w:pPr>
              <w:numPr>
                <w:ilvl w:val="0"/>
                <w:numId w:val="4"/>
              </w:numPr>
              <w:spacing w:line="300" w:lineRule="exact"/>
              <w:rPr>
                <w:rFonts w:ascii="Times New Roman" w:hAnsi="Times New Roman" w:eastAsia="仿宋_GB2312"/>
                <w:sz w:val="20"/>
                <w:szCs w:val="20"/>
              </w:rPr>
            </w:pPr>
            <w:r>
              <w:rPr>
                <w:rFonts w:ascii="Times New Roman" w:hAnsi="Times New Roman" w:eastAsia="仿宋_GB2312"/>
                <w:sz w:val="20"/>
                <w:szCs w:val="20"/>
              </w:rPr>
              <w:t>有转移支付资金的各</w:t>
            </w:r>
            <w:r>
              <w:rPr>
                <w:rFonts w:hint="eastAsia" w:ascii="Times New Roman" w:hAnsi="Times New Roman" w:eastAsia="仿宋_GB2312"/>
                <w:sz w:val="20"/>
                <w:szCs w:val="20"/>
              </w:rPr>
              <w:t>县区</w:t>
            </w:r>
            <w:r>
              <w:rPr>
                <w:rFonts w:ascii="Times New Roman" w:hAnsi="Times New Roman" w:eastAsia="仿宋_GB2312"/>
                <w:sz w:val="20"/>
                <w:szCs w:val="20"/>
              </w:rPr>
              <w:t>主管部门汇总情况的盖章PDF版　</w:t>
            </w:r>
          </w:p>
        </w:tc>
      </w:tr>
      <w:tr>
        <w:tblPrEx>
          <w:tblCellMar>
            <w:top w:w="0" w:type="dxa"/>
            <w:left w:w="108" w:type="dxa"/>
            <w:bottom w:w="0" w:type="dxa"/>
            <w:right w:w="108" w:type="dxa"/>
          </w:tblCellMar>
        </w:tblPrEx>
        <w:trPr>
          <w:jc w:val="center"/>
        </w:trPr>
        <w:tc>
          <w:tcPr>
            <w:tcW w:w="745" w:type="dxa"/>
            <w:vMerge w:val="continue"/>
            <w:tcBorders>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sz w:val="20"/>
                <w:szCs w:val="20"/>
              </w:rPr>
            </w:pPr>
          </w:p>
        </w:tc>
        <w:tc>
          <w:tcPr>
            <w:tcW w:w="1174"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提交报告</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（10分）</w:t>
            </w:r>
          </w:p>
        </w:tc>
        <w:tc>
          <w:tcPr>
            <w:tcW w:w="8022" w:type="dxa"/>
            <w:gridSpan w:val="2"/>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按时向</w:t>
            </w:r>
            <w:r>
              <w:rPr>
                <w:rFonts w:hint="eastAsia" w:ascii="Times New Roman" w:hAnsi="Times New Roman" w:eastAsia="仿宋_GB2312"/>
                <w:sz w:val="20"/>
                <w:szCs w:val="20"/>
              </w:rPr>
              <w:t>市财政局</w:t>
            </w:r>
            <w:r>
              <w:rPr>
                <w:rFonts w:ascii="Times New Roman" w:hAnsi="Times New Roman" w:eastAsia="仿宋_GB2312"/>
                <w:sz w:val="20"/>
                <w:szCs w:val="20"/>
              </w:rPr>
              <w:t>报送报告的得10分；每推迟一个工作日报送报告的扣1分，最多扣10分。</w:t>
            </w:r>
          </w:p>
        </w:tc>
      </w:tr>
      <w:tr>
        <w:tblPrEx>
          <w:tblCellMar>
            <w:top w:w="0" w:type="dxa"/>
            <w:left w:w="108" w:type="dxa"/>
            <w:bottom w:w="0" w:type="dxa"/>
            <w:right w:w="108" w:type="dxa"/>
          </w:tblCellMar>
        </w:tblPrEx>
        <w:trPr>
          <w:trHeight w:val="740" w:hRule="atLeast"/>
          <w:jc w:val="center"/>
        </w:trPr>
        <w:tc>
          <w:tcPr>
            <w:tcW w:w="74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自评报告</w:t>
            </w:r>
          </w:p>
          <w:p>
            <w:pPr>
              <w:spacing w:line="300" w:lineRule="exact"/>
              <w:jc w:val="center"/>
              <w:rPr>
                <w:rFonts w:ascii="Times New Roman" w:hAnsi="Times New Roman" w:eastAsia="仿宋_GB2312"/>
                <w:sz w:val="20"/>
                <w:szCs w:val="20"/>
              </w:rPr>
            </w:pP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70分</w:t>
            </w:r>
          </w:p>
        </w:tc>
        <w:tc>
          <w:tcPr>
            <w:tcW w:w="1174"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完整性</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（15分）</w:t>
            </w:r>
          </w:p>
        </w:tc>
        <w:tc>
          <w:tcPr>
            <w:tcW w:w="8022" w:type="dxa"/>
            <w:gridSpan w:val="2"/>
            <w:tcBorders>
              <w:top w:val="single" w:color="auto" w:sz="4" w:space="0"/>
              <w:left w:val="nil"/>
              <w:bottom w:val="single" w:color="auto" w:sz="4" w:space="0"/>
              <w:right w:val="single" w:color="auto" w:sz="4" w:space="0"/>
            </w:tcBorders>
            <w:vAlign w:val="center"/>
          </w:tcPr>
          <w:p>
            <w:pPr>
              <w:rPr>
                <w:rFonts w:ascii="Times New Roman" w:hAnsi="Times New Roman" w:eastAsia="仿宋_GB2312"/>
                <w:sz w:val="20"/>
                <w:szCs w:val="20"/>
              </w:rPr>
            </w:pPr>
            <w:r>
              <w:rPr>
                <w:rFonts w:ascii="Times New Roman" w:hAnsi="Times New Roman" w:eastAsia="仿宋_GB2312"/>
                <w:sz w:val="20"/>
                <w:szCs w:val="20"/>
              </w:rPr>
              <w:t>1</w:t>
            </w:r>
            <w:r>
              <w:rPr>
                <w:rFonts w:hint="eastAsia" w:ascii="Times New Roman" w:hAnsi="Times New Roman" w:eastAsia="仿宋_GB2312"/>
                <w:sz w:val="20"/>
                <w:szCs w:val="20"/>
              </w:rPr>
              <w:t>.</w:t>
            </w:r>
            <w:r>
              <w:rPr>
                <w:rFonts w:ascii="Times New Roman" w:hAnsi="Times New Roman" w:eastAsia="仿宋_GB2312"/>
                <w:sz w:val="20"/>
                <w:szCs w:val="20"/>
              </w:rPr>
              <w:t>绩效自评报告正文部分内容齐全的，得8分；否则每少一个部分扣2分，最多扣8分。</w:t>
            </w:r>
          </w:p>
          <w:p>
            <w:pPr>
              <w:jc w:val="left"/>
              <w:rPr>
                <w:rFonts w:ascii="Times New Roman" w:hAnsi="Times New Roman" w:eastAsia="仿宋_GB2312"/>
                <w:sz w:val="20"/>
                <w:szCs w:val="20"/>
              </w:rPr>
            </w:pPr>
            <w:r>
              <w:rPr>
                <w:rFonts w:ascii="Times New Roman" w:hAnsi="Times New Roman" w:eastAsia="仿宋_GB2312"/>
                <w:sz w:val="20"/>
                <w:szCs w:val="20"/>
              </w:rPr>
              <w:t>2</w:t>
            </w:r>
            <w:r>
              <w:rPr>
                <w:rFonts w:hint="eastAsia" w:ascii="Times New Roman" w:hAnsi="Times New Roman" w:eastAsia="仿宋_GB2312"/>
                <w:sz w:val="20"/>
                <w:szCs w:val="20"/>
              </w:rPr>
              <w:t>.</w:t>
            </w:r>
            <w:r>
              <w:rPr>
                <w:rFonts w:ascii="Times New Roman" w:hAnsi="Times New Roman" w:eastAsia="仿宋_GB2312"/>
                <w:sz w:val="20"/>
                <w:szCs w:val="20"/>
              </w:rPr>
              <w:t>绩效自评报告附件部分内容齐全的，得7分；否则每少一个部分扣2分，最多扣7分。</w:t>
            </w:r>
          </w:p>
        </w:tc>
      </w:tr>
      <w:tr>
        <w:tblPrEx>
          <w:tblCellMar>
            <w:top w:w="0" w:type="dxa"/>
            <w:left w:w="108" w:type="dxa"/>
            <w:bottom w:w="0" w:type="dxa"/>
            <w:right w:w="108" w:type="dxa"/>
          </w:tblCellMar>
        </w:tblPrEx>
        <w:trPr>
          <w:trHeight w:val="2143" w:hRule="atLeast"/>
          <w:jc w:val="center"/>
        </w:trPr>
        <w:tc>
          <w:tcPr>
            <w:tcW w:w="74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sz w:val="20"/>
                <w:szCs w:val="20"/>
              </w:rPr>
            </w:pPr>
          </w:p>
        </w:tc>
        <w:tc>
          <w:tcPr>
            <w:tcW w:w="1174" w:type="dxa"/>
            <w:tcBorders>
              <w:top w:val="single" w:color="auto" w:sz="4" w:space="0"/>
              <w:left w:val="nil"/>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绩效</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自评表</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（20分）</w:t>
            </w:r>
          </w:p>
        </w:tc>
        <w:tc>
          <w:tcPr>
            <w:tcW w:w="8022" w:type="dxa"/>
            <w:gridSpan w:val="2"/>
            <w:tcBorders>
              <w:top w:val="single" w:color="auto" w:sz="4" w:space="0"/>
              <w:left w:val="nil"/>
              <w:bottom w:val="single" w:color="auto" w:sz="4" w:space="0"/>
              <w:right w:val="single" w:color="auto" w:sz="4" w:space="0"/>
            </w:tcBorders>
            <w:vAlign w:val="center"/>
          </w:tcPr>
          <w:p>
            <w:pPr>
              <w:rPr>
                <w:rFonts w:ascii="Times New Roman" w:hAnsi="Times New Roman" w:eastAsia="仿宋_GB2312"/>
                <w:sz w:val="20"/>
                <w:szCs w:val="20"/>
              </w:rPr>
            </w:pPr>
            <w:r>
              <w:rPr>
                <w:rFonts w:ascii="Times New Roman" w:hAnsi="Times New Roman" w:eastAsia="仿宋_GB2312"/>
                <w:sz w:val="20"/>
                <w:szCs w:val="20"/>
              </w:rPr>
              <w:t>1、部门整体支出和项目支出绩效指标反映产出、效益、服务对象满意度方面的指标和预算执行率的权重符合《</w:t>
            </w:r>
            <w:r>
              <w:rPr>
                <w:rFonts w:hint="eastAsia" w:ascii="Times New Roman" w:hAnsi="Times New Roman" w:eastAsia="仿宋_GB2312"/>
                <w:sz w:val="20"/>
                <w:szCs w:val="20"/>
              </w:rPr>
              <w:t>岳阳市市级</w:t>
            </w:r>
            <w:r>
              <w:rPr>
                <w:rFonts w:ascii="Times New Roman" w:hAnsi="Times New Roman" w:eastAsia="仿宋_GB2312"/>
                <w:sz w:val="20"/>
                <w:szCs w:val="20"/>
              </w:rPr>
              <w:t>预算部门绩效自评操作规程》要求的，得5分，否则按比例扣除相应的分数。</w:t>
            </w:r>
          </w:p>
          <w:p>
            <w:pPr>
              <w:rPr>
                <w:rFonts w:ascii="Times New Roman" w:hAnsi="Times New Roman" w:eastAsia="仿宋_GB2312"/>
                <w:sz w:val="20"/>
                <w:szCs w:val="20"/>
              </w:rPr>
            </w:pPr>
            <w:r>
              <w:rPr>
                <w:rFonts w:ascii="Times New Roman" w:hAnsi="Times New Roman" w:eastAsia="仿宋_GB2312"/>
                <w:sz w:val="20"/>
                <w:szCs w:val="20"/>
              </w:rPr>
              <w:t>2</w:t>
            </w:r>
            <w:r>
              <w:rPr>
                <w:rFonts w:hint="eastAsia" w:ascii="Times New Roman" w:hAnsi="Times New Roman" w:eastAsia="仿宋_GB2312"/>
                <w:sz w:val="20"/>
                <w:szCs w:val="20"/>
              </w:rPr>
              <w:t>.</w:t>
            </w:r>
            <w:r>
              <w:rPr>
                <w:rFonts w:ascii="Times New Roman" w:hAnsi="Times New Roman" w:eastAsia="仿宋_GB2312"/>
                <w:sz w:val="20"/>
                <w:szCs w:val="20"/>
              </w:rPr>
              <w:t>部门整体支出和项目支出绩效指标全部细化到三级指标的，得5分；部分细化的，酌情扣分；没有细化的，不得分。</w:t>
            </w:r>
          </w:p>
          <w:p>
            <w:pPr>
              <w:jc w:val="left"/>
              <w:rPr>
                <w:rFonts w:ascii="Times New Roman" w:hAnsi="Times New Roman" w:eastAsia="仿宋_GB2312"/>
                <w:sz w:val="20"/>
                <w:szCs w:val="20"/>
              </w:rPr>
            </w:pPr>
            <w:r>
              <w:rPr>
                <w:rFonts w:ascii="Times New Roman" w:hAnsi="Times New Roman" w:eastAsia="仿宋_GB2312"/>
                <w:sz w:val="20"/>
                <w:szCs w:val="20"/>
              </w:rPr>
              <w:t>3</w:t>
            </w:r>
            <w:r>
              <w:rPr>
                <w:rFonts w:hint="eastAsia" w:ascii="Times New Roman" w:hAnsi="Times New Roman" w:eastAsia="仿宋_GB2312"/>
                <w:sz w:val="20"/>
                <w:szCs w:val="20"/>
              </w:rPr>
              <w:t>.</w:t>
            </w:r>
            <w:r>
              <w:rPr>
                <w:rFonts w:ascii="Times New Roman" w:hAnsi="Times New Roman" w:eastAsia="仿宋_GB2312"/>
                <w:sz w:val="20"/>
                <w:szCs w:val="20"/>
              </w:rPr>
              <w:t>部门整体支出和项目支出三级绩效指标内涵明确、具体、可衡量的得5分；突出核心指标，精简实用的得3分；指标与部门整体支出和项目支出密切相关，全面反映产出和效益的得2分；否则，每项酌情扣分，最多扣10分。</w:t>
            </w:r>
          </w:p>
        </w:tc>
      </w:tr>
      <w:tr>
        <w:tblPrEx>
          <w:tblCellMar>
            <w:top w:w="0" w:type="dxa"/>
            <w:left w:w="108" w:type="dxa"/>
            <w:bottom w:w="0" w:type="dxa"/>
            <w:right w:w="108" w:type="dxa"/>
          </w:tblCellMar>
        </w:tblPrEx>
        <w:trPr>
          <w:trHeight w:val="1197" w:hRule="atLeast"/>
          <w:jc w:val="center"/>
        </w:trPr>
        <w:tc>
          <w:tcPr>
            <w:tcW w:w="74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p>
        </w:tc>
        <w:tc>
          <w:tcPr>
            <w:tcW w:w="1174" w:type="dxa"/>
            <w:tcBorders>
              <w:top w:val="single" w:color="auto" w:sz="4" w:space="0"/>
              <w:left w:val="nil"/>
              <w:bottom w:val="single" w:color="auto" w:sz="4" w:space="0"/>
              <w:right w:val="single" w:color="auto" w:sz="4" w:space="0"/>
            </w:tcBorders>
            <w:vAlign w:val="center"/>
          </w:tcPr>
          <w:p>
            <w:pPr>
              <w:jc w:val="center"/>
              <w:rPr>
                <w:rFonts w:ascii="Times New Roman" w:hAnsi="Times New Roman"/>
              </w:rPr>
            </w:pPr>
          </w:p>
          <w:p>
            <w:pPr>
              <w:jc w:val="center"/>
              <w:rPr>
                <w:rFonts w:ascii="Times New Roman" w:hAnsi="Times New Roman" w:eastAsia="仿宋_GB2312"/>
                <w:sz w:val="20"/>
                <w:szCs w:val="20"/>
              </w:rPr>
            </w:pPr>
            <w:r>
              <w:rPr>
                <w:rFonts w:ascii="Times New Roman" w:hAnsi="Times New Roman" w:eastAsia="仿宋_GB2312"/>
                <w:sz w:val="20"/>
                <w:szCs w:val="20"/>
              </w:rPr>
              <w:t>反映问</w:t>
            </w:r>
          </w:p>
          <w:p>
            <w:pPr>
              <w:jc w:val="center"/>
              <w:rPr>
                <w:rFonts w:ascii="Times New Roman" w:hAnsi="Times New Roman" w:eastAsia="仿宋_GB2312"/>
                <w:sz w:val="20"/>
                <w:szCs w:val="20"/>
              </w:rPr>
            </w:pPr>
            <w:r>
              <w:rPr>
                <w:rFonts w:ascii="Times New Roman" w:hAnsi="Times New Roman" w:eastAsia="仿宋_GB2312"/>
                <w:sz w:val="20"/>
                <w:szCs w:val="20"/>
              </w:rPr>
              <w:t>题情况</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（20分）</w:t>
            </w:r>
          </w:p>
        </w:tc>
        <w:tc>
          <w:tcPr>
            <w:tcW w:w="8022" w:type="dxa"/>
            <w:gridSpan w:val="2"/>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sz w:val="20"/>
                <w:szCs w:val="20"/>
              </w:rPr>
            </w:pPr>
            <w:r>
              <w:rPr>
                <w:rFonts w:ascii="Times New Roman" w:hAnsi="Times New Roman" w:eastAsia="仿宋_GB2312"/>
                <w:sz w:val="20"/>
                <w:szCs w:val="20"/>
              </w:rPr>
              <w:t>从预算和预算绩效管理，部门履职效能，资金分配、使用和管理，资产和财务管理，政府采购等方面归纳问题、分析原因全面的，得20分；反映问题、分析原因较全面的，得16—18分；反映问题、分析原因不全面的，得13—15分；问题未归纳且过于简单的，得10—12分；只提出资金不足问题的不得分；其他情况酌情扣分。　</w:t>
            </w:r>
          </w:p>
        </w:tc>
      </w:tr>
      <w:tr>
        <w:tblPrEx>
          <w:tblCellMar>
            <w:top w:w="0" w:type="dxa"/>
            <w:left w:w="108" w:type="dxa"/>
            <w:bottom w:w="0" w:type="dxa"/>
            <w:right w:w="108" w:type="dxa"/>
          </w:tblCellMar>
        </w:tblPrEx>
        <w:trPr>
          <w:trHeight w:val="627" w:hRule="atLeast"/>
          <w:jc w:val="center"/>
        </w:trPr>
        <w:tc>
          <w:tcPr>
            <w:tcW w:w="74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sz w:val="20"/>
                <w:szCs w:val="20"/>
              </w:rPr>
            </w:pPr>
          </w:p>
        </w:tc>
        <w:tc>
          <w:tcPr>
            <w:tcW w:w="1174"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建议情况</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（15分）</w:t>
            </w:r>
          </w:p>
        </w:tc>
        <w:tc>
          <w:tcPr>
            <w:tcW w:w="8022" w:type="dxa"/>
            <w:gridSpan w:val="2"/>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sz w:val="20"/>
                <w:szCs w:val="20"/>
              </w:rPr>
            </w:pPr>
            <w:r>
              <w:rPr>
                <w:rFonts w:ascii="Times New Roman" w:hAnsi="Times New Roman" w:eastAsia="仿宋_GB2312"/>
                <w:sz w:val="20"/>
                <w:szCs w:val="20"/>
              </w:rPr>
              <w:t>建议与问题对应且全面的得15分，建议比较全面的得12—14分，建议不全面的得9—11分，建议过于简单的得6—8分，只提出加大资金投入建议的不得分；其他情况酌情扣分。</w:t>
            </w:r>
          </w:p>
        </w:tc>
      </w:tr>
      <w:tr>
        <w:tblPrEx>
          <w:tblCellMar>
            <w:top w:w="0" w:type="dxa"/>
            <w:left w:w="108" w:type="dxa"/>
            <w:bottom w:w="0" w:type="dxa"/>
            <w:right w:w="108" w:type="dxa"/>
          </w:tblCellMar>
        </w:tblPrEx>
        <w:trPr>
          <w:trHeight w:val="495"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合计</w:t>
            </w:r>
          </w:p>
        </w:tc>
        <w:tc>
          <w:tcPr>
            <w:tcW w:w="11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100分</w:t>
            </w:r>
          </w:p>
        </w:tc>
        <w:tc>
          <w:tcPr>
            <w:tcW w:w="802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sz w:val="20"/>
                <w:szCs w:val="20"/>
              </w:rPr>
            </w:pPr>
            <w:r>
              <w:rPr>
                <w:rFonts w:ascii="Times New Roman" w:hAnsi="Times New Roman" w:eastAsia="仿宋_GB2312"/>
                <w:sz w:val="20"/>
                <w:szCs w:val="2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4E6514"/>
    <w:multiLevelType w:val="singleLevel"/>
    <w:tmpl w:val="C54E6514"/>
    <w:lvl w:ilvl="0" w:tentative="0">
      <w:start w:val="8"/>
      <w:numFmt w:val="chineseCounting"/>
      <w:suff w:val="nothing"/>
      <w:lvlText w:val="%1、"/>
      <w:lvlJc w:val="left"/>
      <w:rPr>
        <w:rFonts w:hint="eastAsia"/>
      </w:rPr>
    </w:lvl>
  </w:abstractNum>
  <w:abstractNum w:abstractNumId="1">
    <w:nsid w:val="F5F838C0"/>
    <w:multiLevelType w:val="singleLevel"/>
    <w:tmpl w:val="F5F838C0"/>
    <w:lvl w:ilvl="0" w:tentative="0">
      <w:start w:val="2"/>
      <w:numFmt w:val="chineseCounting"/>
      <w:suff w:val="nothing"/>
      <w:lvlText w:val="（%1）"/>
      <w:lvlJc w:val="left"/>
      <w:rPr>
        <w:rFonts w:hint="eastAsia"/>
      </w:rPr>
    </w:lvl>
  </w:abstractNum>
  <w:abstractNum w:abstractNumId="2">
    <w:nsid w:val="0BC3D692"/>
    <w:multiLevelType w:val="singleLevel"/>
    <w:tmpl w:val="0BC3D692"/>
    <w:lvl w:ilvl="0" w:tentative="0">
      <w:start w:val="1"/>
      <w:numFmt w:val="chineseCounting"/>
      <w:suff w:val="nothing"/>
      <w:lvlText w:val="%1、"/>
      <w:lvlJc w:val="left"/>
      <w:rPr>
        <w:rFonts w:hint="eastAsia"/>
      </w:rPr>
    </w:lvl>
  </w:abstractNum>
  <w:abstractNum w:abstractNumId="3">
    <w:nsid w:val="5DDF8822"/>
    <w:multiLevelType w:val="singleLevel"/>
    <w:tmpl w:val="5DDF8822"/>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033338"/>
    <w:rsid w:val="00B10A06"/>
    <w:rsid w:val="00C12C8F"/>
    <w:rsid w:val="097A0695"/>
    <w:rsid w:val="0C272781"/>
    <w:rsid w:val="13033338"/>
    <w:rsid w:val="15472450"/>
    <w:rsid w:val="1B935C0A"/>
    <w:rsid w:val="22F4651A"/>
    <w:rsid w:val="28B44C81"/>
    <w:rsid w:val="38187BA4"/>
    <w:rsid w:val="4FC767E2"/>
    <w:rsid w:val="564818AC"/>
    <w:rsid w:val="5CCA498F"/>
    <w:rsid w:val="5D870292"/>
    <w:rsid w:val="6B7E3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sz w:val="28"/>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5">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1232</Words>
  <Characters>7024</Characters>
  <Lines>58</Lines>
  <Paragraphs>16</Paragraphs>
  <TotalTime>1</TotalTime>
  <ScaleCrop>false</ScaleCrop>
  <LinksUpToDate>false</LinksUpToDate>
  <CharactersWithSpaces>8240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2023-07-14T13:44:00Z</dcterms:created>
  <dc:creator>付敏</dc:creator>
  <cp:lastModifiedBy>付敏</cp:lastModifiedBy>
  <dcterms:modified xsi:type="dcterms:W3CDTF">2023-07-20T09:17:43Z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F6644A55BF694F4EBBC923F48746F424</vt:lpwstr>
  </property>
</Properties>
</file>